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5" w:lineRule="atLeast"/>
        <w:jc w:val="center"/>
        <w:rPr>
          <w:rFonts w:ascii="Helvetica" w:hAnsi="Helvetica" w:cs="Helvetica"/>
          <w:color w:val="000000"/>
          <w:kern w:val="0"/>
        </w:rPr>
      </w:pPr>
      <w:r>
        <w:rPr>
          <w:rFonts w:hint="eastAsia" w:ascii="方正小标宋简体" w:hAnsi="Times New Roman" w:eastAsia="方正小标宋简体"/>
          <w:color w:val="000000"/>
          <w:kern w:val="0"/>
          <w:sz w:val="44"/>
          <w:szCs w:val="44"/>
        </w:rPr>
        <w:t>溧阳市城市（镇）建成区餐饮服务业油烟</w:t>
      </w:r>
    </w:p>
    <w:p>
      <w:pPr>
        <w:widowControl/>
        <w:spacing w:line="705" w:lineRule="atLeast"/>
        <w:jc w:val="center"/>
        <w:rPr>
          <w:rFonts w:ascii="Times New Roman" w:hAnsi="Times New Roman"/>
          <w:color w:val="000000"/>
          <w:kern w:val="0"/>
          <w:sz w:val="32"/>
          <w:szCs w:val="32"/>
        </w:rPr>
      </w:pPr>
      <w:r>
        <w:rPr>
          <w:rFonts w:hint="eastAsia" w:ascii="方正小标宋简体" w:hAnsi="Times New Roman" w:eastAsia="方正小标宋简体"/>
          <w:color w:val="000000"/>
          <w:kern w:val="0"/>
          <w:sz w:val="44"/>
          <w:szCs w:val="44"/>
        </w:rPr>
        <w:t>净化设施安装和运行维护</w:t>
      </w:r>
      <w:r>
        <w:rPr>
          <w:rFonts w:hint="eastAsia" w:ascii="方正小标宋简体" w:hAnsi="Helvetica" w:eastAsia="方正小标宋简体" w:cs="Helvetica"/>
          <w:color w:val="000000"/>
          <w:kern w:val="0"/>
          <w:sz w:val="44"/>
          <w:szCs w:val="44"/>
        </w:rPr>
        <w:t>监督</w:t>
      </w:r>
      <w:r>
        <w:rPr>
          <w:rFonts w:hint="eastAsia" w:ascii="方正小标宋简体" w:hAnsi="Times New Roman" w:eastAsia="方正小标宋简体"/>
          <w:color w:val="000000"/>
          <w:kern w:val="0"/>
          <w:sz w:val="44"/>
          <w:szCs w:val="44"/>
        </w:rPr>
        <w:t>管理办法</w:t>
      </w:r>
      <w:r>
        <w:rPr>
          <w:rFonts w:ascii="Times New Roman" w:hAnsi="Times New Roman"/>
          <w:color w:val="000000"/>
          <w:kern w:val="0"/>
          <w:sz w:val="32"/>
          <w:szCs w:val="32"/>
        </w:rPr>
        <w:t xml:space="preserve"> </w:t>
      </w:r>
    </w:p>
    <w:p>
      <w:pPr>
        <w:widowControl/>
        <w:spacing w:line="705" w:lineRule="atLeast"/>
        <w:jc w:val="center"/>
        <w:rPr>
          <w:rFonts w:hint="default" w:ascii="Times New Roman" w:hAnsi="Times New Roman" w:eastAsia="宋体"/>
          <w:color w:val="000000"/>
          <w:kern w:val="0"/>
          <w:sz w:val="32"/>
          <w:szCs w:val="32"/>
          <w:lang w:val="en-US" w:eastAsia="zh-CN"/>
        </w:rPr>
      </w:pPr>
      <w:r>
        <w:rPr>
          <w:rFonts w:hint="eastAsia" w:ascii="Times New Roman" w:hAnsi="Times New Roman"/>
          <w:color w:val="000000"/>
          <w:kern w:val="0"/>
          <w:sz w:val="32"/>
          <w:szCs w:val="32"/>
          <w:lang w:val="en-US" w:eastAsia="zh-CN"/>
        </w:rPr>
        <w:t>(征求意见稿)</w:t>
      </w:r>
    </w:p>
    <w:p>
      <w:pPr>
        <w:widowControl/>
        <w:spacing w:line="540" w:lineRule="atLeast"/>
        <w:jc w:val="center"/>
        <w:rPr>
          <w:rFonts w:ascii="Helvetica" w:hAnsi="Helvetica" w:cs="Helvetica"/>
          <w:color w:val="000000"/>
          <w:kern w:val="0"/>
        </w:rPr>
      </w:pPr>
      <w:r>
        <w:rPr>
          <w:rFonts w:hint="eastAsia" w:ascii="黑体" w:hAnsi="黑体" w:eastAsia="黑体"/>
          <w:color w:val="000000"/>
          <w:kern w:val="0"/>
          <w:sz w:val="32"/>
          <w:szCs w:val="32"/>
        </w:rPr>
        <w:t>第一章</w:t>
      </w:r>
      <w:r>
        <w:rPr>
          <w:rFonts w:ascii="Times New Roman" w:hAnsi="Times New Roman"/>
          <w:color w:val="000000"/>
          <w:kern w:val="0"/>
          <w:sz w:val="32"/>
          <w:szCs w:val="32"/>
        </w:rPr>
        <w:t xml:space="preserve">  </w:t>
      </w:r>
      <w:r>
        <w:rPr>
          <w:rFonts w:hint="eastAsia" w:ascii="黑体" w:hAnsi="黑体" w:eastAsia="黑体"/>
          <w:color w:val="000000"/>
          <w:kern w:val="0"/>
          <w:sz w:val="32"/>
          <w:szCs w:val="32"/>
        </w:rPr>
        <w:t>总</w:t>
      </w:r>
      <w:r>
        <w:rPr>
          <w:rFonts w:ascii="Times New Roman" w:hAnsi="Times New Roman"/>
          <w:color w:val="000000"/>
          <w:kern w:val="0"/>
          <w:sz w:val="32"/>
          <w:szCs w:val="32"/>
        </w:rPr>
        <w:t xml:space="preserve">  </w:t>
      </w:r>
      <w:r>
        <w:rPr>
          <w:rFonts w:hint="eastAsia" w:ascii="黑体" w:hAnsi="黑体" w:eastAsia="黑体"/>
          <w:color w:val="000000"/>
          <w:kern w:val="0"/>
          <w:sz w:val="32"/>
          <w:szCs w:val="32"/>
        </w:rPr>
        <w:t>则</w:t>
      </w:r>
    </w:p>
    <w:p>
      <w:pPr>
        <w:widowControl/>
        <w:spacing w:line="540" w:lineRule="atLeast"/>
        <w:ind w:firstLine="615"/>
        <w:jc w:val="left"/>
        <w:rPr>
          <w:rFonts w:ascii="Helvetica" w:hAnsi="Helvetica" w:cs="Helvetica"/>
          <w:color w:val="000000"/>
          <w:kern w:val="0"/>
        </w:rPr>
      </w:pPr>
      <w:r>
        <w:rPr>
          <w:rFonts w:hint="eastAsia" w:ascii="黑体" w:hAnsi="黑体" w:eastAsia="黑体"/>
          <w:color w:val="000000"/>
          <w:kern w:val="0"/>
          <w:sz w:val="32"/>
          <w:szCs w:val="32"/>
        </w:rPr>
        <w:t>第一条</w:t>
      </w:r>
      <w:r>
        <w:rPr>
          <w:rFonts w:ascii="Times New Roman" w:hAnsi="Times New Roman"/>
          <w:color w:val="000000"/>
          <w:kern w:val="0"/>
          <w:sz w:val="32"/>
          <w:szCs w:val="32"/>
        </w:rPr>
        <w:t xml:space="preserve">  </w:t>
      </w:r>
      <w:r>
        <w:rPr>
          <w:rFonts w:hint="eastAsia" w:ascii="仿宋_GB2312" w:hAnsi="Times New Roman" w:eastAsia="仿宋_GB2312"/>
          <w:color w:val="000000"/>
          <w:kern w:val="0"/>
          <w:sz w:val="32"/>
          <w:szCs w:val="32"/>
        </w:rPr>
        <w:t>为进一步规范全市城市餐饮服务单位油烟净化设施安装和加强使用维护管理，全面提升餐饮油烟净化效果，持续推进全省大气环境质量改善，根据《江苏省大气污染防治条例》《常州市餐饮业污染防治管理办法》和《饮食业油烟排放标准》《饮食业环境保护技术规范》等法规及技术标准，结合本市实际，制定本办法。</w:t>
      </w:r>
    </w:p>
    <w:p>
      <w:pPr>
        <w:widowControl/>
        <w:spacing w:line="540" w:lineRule="atLeast"/>
        <w:ind w:firstLine="615"/>
        <w:jc w:val="left"/>
        <w:rPr>
          <w:rFonts w:ascii="Helvetica" w:hAnsi="Helvetica" w:cs="Helvetica"/>
          <w:color w:val="000000"/>
          <w:kern w:val="0"/>
        </w:rPr>
      </w:pPr>
      <w:r>
        <w:rPr>
          <w:rFonts w:hint="eastAsia" w:ascii="黑体" w:hAnsi="黑体" w:eastAsia="黑体"/>
          <w:color w:val="000000"/>
          <w:kern w:val="0"/>
          <w:sz w:val="32"/>
          <w:szCs w:val="32"/>
        </w:rPr>
        <w:t>第二条</w:t>
      </w:r>
      <w:r>
        <w:rPr>
          <w:rFonts w:ascii="Times New Roman" w:hAnsi="Times New Roman"/>
          <w:color w:val="000000"/>
          <w:kern w:val="0"/>
          <w:sz w:val="32"/>
          <w:szCs w:val="32"/>
        </w:rPr>
        <w:t xml:space="preserve">  </w:t>
      </w:r>
      <w:r>
        <w:rPr>
          <w:rFonts w:hint="eastAsia" w:ascii="仿宋_GB2312" w:hAnsi="Times New Roman" w:eastAsia="仿宋_GB2312"/>
          <w:color w:val="000000"/>
          <w:kern w:val="0"/>
          <w:sz w:val="32"/>
          <w:szCs w:val="32"/>
        </w:rPr>
        <w:t>本办法适用于本市城市（镇）建成区的餐饮服务单位油烟净化设施安装、运行和维护管理活动。</w:t>
      </w:r>
    </w:p>
    <w:p>
      <w:pPr>
        <w:widowControl/>
        <w:spacing w:line="540" w:lineRule="atLeast"/>
        <w:ind w:firstLine="615"/>
        <w:jc w:val="left"/>
        <w:rPr>
          <w:rFonts w:ascii="仿宋_GB2312" w:hAnsi="Times New Roman" w:eastAsia="仿宋_GB2312"/>
          <w:color w:val="000000"/>
          <w:kern w:val="0"/>
          <w:sz w:val="32"/>
          <w:szCs w:val="32"/>
        </w:rPr>
      </w:pPr>
      <w:r>
        <w:rPr>
          <w:rFonts w:hint="eastAsia" w:ascii="黑体" w:hAnsi="黑体" w:eastAsia="黑体"/>
          <w:color w:val="000000"/>
          <w:kern w:val="0"/>
          <w:sz w:val="32"/>
          <w:szCs w:val="32"/>
        </w:rPr>
        <w:t>第三条</w:t>
      </w:r>
      <w:r>
        <w:rPr>
          <w:rFonts w:ascii="Times New Roman" w:hAnsi="Times New Roman"/>
          <w:color w:val="000000"/>
          <w:kern w:val="0"/>
          <w:sz w:val="32"/>
          <w:szCs w:val="32"/>
        </w:rPr>
        <w:t xml:space="preserve">  </w:t>
      </w:r>
      <w:r>
        <w:rPr>
          <w:rFonts w:hint="eastAsia" w:ascii="仿宋_GB2312" w:hAnsi="Times New Roman" w:eastAsia="仿宋_GB2312"/>
          <w:color w:val="000000"/>
          <w:kern w:val="0"/>
          <w:sz w:val="32"/>
          <w:szCs w:val="32"/>
        </w:rPr>
        <w:t>镇人民政府（街道办事处）应当对本行政区域内餐饮油烟污染防治工作负责。乡镇（街道）综合执法机构负责城市（镇）建成区内餐饮油烟的污染防治日常监督管理。</w:t>
      </w:r>
    </w:p>
    <w:p>
      <w:pPr>
        <w:ind w:firstLine="640" w:firstLineChars="200"/>
        <w:rPr>
          <w:rFonts w:hint="eastAsia" w:ascii="仿宋_GB2312" w:eastAsia="仿宋_GB2312"/>
          <w:b w:val="0"/>
          <w:bCs w:val="0"/>
          <w:color w:val="000000" w:themeColor="text1"/>
          <w:sz w:val="32"/>
          <w:szCs w:val="32"/>
          <w:lang w:eastAsia="zh-CN"/>
          <w14:textFill>
            <w14:solidFill>
              <w14:schemeClr w14:val="tx1"/>
            </w14:solidFill>
          </w14:textFill>
        </w:rPr>
      </w:pPr>
      <w:r>
        <w:rPr>
          <w:rFonts w:hint="eastAsia" w:ascii="仿宋_GB2312" w:hAnsi="Times New Roman" w:eastAsia="仿宋_GB2312"/>
          <w:b w:val="0"/>
          <w:bCs w:val="0"/>
          <w:color w:val="000000" w:themeColor="text1"/>
          <w:kern w:val="0"/>
          <w:sz w:val="32"/>
          <w:szCs w:val="32"/>
          <w14:textFill>
            <w14:solidFill>
              <w14:schemeClr w14:val="tx1"/>
            </w14:solidFill>
          </w14:textFill>
        </w:rPr>
        <w:t>市综合行政执法局</w:t>
      </w:r>
      <w:r>
        <w:rPr>
          <w:rFonts w:hint="eastAsia" w:ascii="仿宋_GB2312" w:hAnsi="Times New Roman" w:eastAsia="仿宋_GB2312"/>
          <w:b w:val="0"/>
          <w:bCs w:val="0"/>
          <w:color w:val="000000" w:themeColor="text1"/>
          <w:kern w:val="0"/>
          <w:sz w:val="32"/>
          <w:szCs w:val="32"/>
          <w:lang w:eastAsia="zh-CN"/>
          <w14:textFill>
            <w14:solidFill>
              <w14:schemeClr w14:val="tx1"/>
            </w14:solidFill>
          </w14:textFill>
        </w:rPr>
        <w:t>依法行使对</w:t>
      </w:r>
      <w:r>
        <w:rPr>
          <w:rFonts w:hint="eastAsia" w:ascii="仿宋_GB2312" w:eastAsia="仿宋_GB2312"/>
          <w:b w:val="0"/>
          <w:bCs w:val="0"/>
          <w:color w:val="000000" w:themeColor="text1"/>
          <w:sz w:val="32"/>
          <w:szCs w:val="32"/>
          <w14:textFill>
            <w14:solidFill>
              <w14:schemeClr w14:val="tx1"/>
            </w14:solidFill>
          </w14:textFill>
        </w:rPr>
        <w:t>排放油烟的餐饮服务业经营者未安装油烟净化设施、不正常使用油烟净化设施或者未采取其他油烟净化措施，超过排放标准排放油烟的</w:t>
      </w:r>
      <w:r>
        <w:rPr>
          <w:rFonts w:hint="eastAsia" w:ascii="仿宋_GB2312" w:eastAsia="仿宋_GB2312"/>
          <w:b w:val="0"/>
          <w:bCs w:val="0"/>
          <w:color w:val="000000" w:themeColor="text1"/>
          <w:sz w:val="32"/>
          <w:szCs w:val="32"/>
          <w:lang w:eastAsia="zh-CN"/>
          <w14:textFill>
            <w14:solidFill>
              <w14:schemeClr w14:val="tx1"/>
            </w14:solidFill>
          </w14:textFill>
        </w:rPr>
        <w:t>行政处罚权</w:t>
      </w:r>
      <w:r>
        <w:rPr>
          <w:rFonts w:hint="eastAsia" w:ascii="仿宋_GB2312" w:eastAsia="仿宋_GB2312"/>
          <w:b w:val="0"/>
          <w:bCs w:val="0"/>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lang w:eastAsia="zh-CN"/>
          <w14:textFill>
            <w14:solidFill>
              <w14:schemeClr w14:val="tx1"/>
            </w14:solidFill>
          </w14:textFill>
        </w:rPr>
        <w:t>对</w:t>
      </w:r>
      <w:r>
        <w:rPr>
          <w:rFonts w:hint="eastAsia" w:ascii="仿宋_GB2312" w:eastAsia="仿宋_GB2312"/>
          <w:b w:val="0"/>
          <w:bCs w:val="0"/>
          <w:color w:val="000000" w:themeColor="text1"/>
          <w:sz w:val="32"/>
          <w:szCs w:val="32"/>
          <w14:textFill>
            <w14:solidFill>
              <w14:schemeClr w14:val="tx1"/>
            </w14:solidFill>
          </w14:textFill>
        </w:rPr>
        <w:t>在法定禁止的时段和区域内露天烧烤食品或者为露天烧烤食品提供场地的</w:t>
      </w:r>
      <w:r>
        <w:rPr>
          <w:rFonts w:hint="eastAsia" w:ascii="仿宋_GB2312" w:eastAsia="仿宋_GB2312"/>
          <w:b w:val="0"/>
          <w:bCs w:val="0"/>
          <w:color w:val="000000" w:themeColor="text1"/>
          <w:sz w:val="32"/>
          <w:szCs w:val="32"/>
          <w:lang w:eastAsia="zh-CN"/>
          <w14:textFill>
            <w14:solidFill>
              <w14:schemeClr w14:val="tx1"/>
            </w14:solidFill>
          </w14:textFill>
        </w:rPr>
        <w:t>行政处罚权。</w:t>
      </w:r>
    </w:p>
    <w:p>
      <w:pPr>
        <w:ind w:firstLine="640" w:firstLineChars="200"/>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 xml:space="preserve"> 在居民住宅楼、未配套设立专用烟道的商住综合楼、商住综合楼内与居住层相邻的商业楼层内新建、改建、扩建产生油烟、异味、废气的餐饮服务项目的，由市场监管部门依法予以查处。</w:t>
      </w:r>
    </w:p>
    <w:p>
      <w:pPr>
        <w:ind w:firstLine="640" w:firstLineChars="200"/>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餐饮服务项目应当备案环境影响登记而未备案的，由生态环境保护主管部门依法处罚。</w:t>
      </w:r>
    </w:p>
    <w:p>
      <w:pPr>
        <w:ind w:firstLine="640" w:firstLineChars="200"/>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hAnsi="Times New Roman" w:eastAsia="仿宋_GB2312"/>
          <w:b w:val="0"/>
          <w:bCs w:val="0"/>
          <w:color w:val="000000" w:themeColor="text1"/>
          <w:kern w:val="0"/>
          <w:sz w:val="32"/>
          <w:szCs w:val="32"/>
          <w14:textFill>
            <w14:solidFill>
              <w14:schemeClr w14:val="tx1"/>
            </w14:solidFill>
          </w14:textFill>
        </w:rPr>
        <w:t>实行乡镇</w:t>
      </w:r>
      <w:r>
        <w:rPr>
          <w:rFonts w:hint="eastAsia" w:ascii="仿宋_GB2312" w:hAnsi="Times New Roman" w:eastAsia="仿宋_GB2312"/>
          <w:b w:val="0"/>
          <w:bCs w:val="0"/>
          <w:color w:val="000000" w:themeColor="text1"/>
          <w:kern w:val="0"/>
          <w:sz w:val="32"/>
          <w:szCs w:val="32"/>
          <w:lang w:eastAsia="zh-CN"/>
          <w14:textFill>
            <w14:solidFill>
              <w14:schemeClr w14:val="tx1"/>
            </w14:solidFill>
          </w14:textFill>
        </w:rPr>
        <w:t>（街道）</w:t>
      </w:r>
      <w:r>
        <w:rPr>
          <w:rFonts w:hint="eastAsia" w:ascii="仿宋_GB2312" w:hAnsi="Times New Roman" w:eastAsia="仿宋_GB2312"/>
          <w:b w:val="0"/>
          <w:bCs w:val="0"/>
          <w:color w:val="000000" w:themeColor="text1"/>
          <w:kern w:val="0"/>
          <w:sz w:val="32"/>
          <w:szCs w:val="32"/>
          <w14:textFill>
            <w14:solidFill>
              <w14:schemeClr w14:val="tx1"/>
            </w14:solidFill>
          </w14:textFill>
        </w:rPr>
        <w:t>综合执法改革赋权的，根据综合执法相关规定执行。</w:t>
      </w:r>
    </w:p>
    <w:p>
      <w:pPr>
        <w:widowControl/>
        <w:spacing w:line="540" w:lineRule="atLeast"/>
        <w:ind w:firstLine="615"/>
        <w:jc w:val="left"/>
        <w:rPr>
          <w:rFonts w:hint="eastAsia" w:ascii="Helvetica" w:hAnsi="Helvetica" w:cs="Helvetica"/>
          <w:color w:val="000000"/>
          <w:kern w:val="0"/>
        </w:rPr>
      </w:pPr>
      <w:r>
        <w:rPr>
          <w:rFonts w:hint="eastAsia" w:ascii="仿宋_GB2312" w:hAnsi="Times New Roman" w:eastAsia="仿宋_GB2312"/>
          <w:color w:val="000000"/>
          <w:kern w:val="0"/>
          <w:sz w:val="32"/>
          <w:szCs w:val="32"/>
        </w:rPr>
        <w:t>其他相关部门依照有关法律、法规和政府确定的职责分工，在各自职责范围内实施餐饮油烟管理工作。</w:t>
      </w:r>
    </w:p>
    <w:p>
      <w:pPr>
        <w:widowControl/>
        <w:numPr>
          <w:numId w:val="0"/>
        </w:numPr>
        <w:spacing w:line="540" w:lineRule="atLeast"/>
        <w:jc w:val="center"/>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t>第二章 规划建设</w:t>
      </w:r>
      <w:bookmarkStart w:id="0" w:name="_GoBack"/>
      <w:bookmarkEnd w:id="0"/>
    </w:p>
    <w:p>
      <w:pPr>
        <w:ind w:firstLine="640" w:firstLineChars="200"/>
        <w:rPr>
          <w:rFonts w:hint="eastAsia" w:ascii="仿宋_GB2312" w:eastAsia="仿宋_GB2312"/>
          <w:sz w:val="32"/>
          <w:szCs w:val="32"/>
        </w:rPr>
      </w:pPr>
      <w:r>
        <w:rPr>
          <w:rFonts w:hint="eastAsia" w:ascii="黑体" w:hAnsi="黑体" w:eastAsia="黑体"/>
          <w:color w:val="000000"/>
          <w:kern w:val="0"/>
          <w:sz w:val="32"/>
          <w:szCs w:val="32"/>
          <w:lang w:val="en-US" w:eastAsia="zh-CN"/>
        </w:rPr>
        <w:t xml:space="preserve"> 第四条  </w:t>
      </w:r>
      <w:r>
        <w:rPr>
          <w:rFonts w:hint="eastAsia" w:ascii="仿宋_GB2312" w:eastAsia="仿宋_GB2312"/>
          <w:sz w:val="32"/>
          <w:szCs w:val="32"/>
        </w:rPr>
        <w:t>各</w:t>
      </w:r>
      <w:r>
        <w:rPr>
          <w:rFonts w:hint="eastAsia" w:ascii="仿宋_GB2312" w:eastAsia="仿宋_GB2312"/>
          <w:sz w:val="32"/>
          <w:szCs w:val="32"/>
          <w:lang w:eastAsia="zh-CN"/>
        </w:rPr>
        <w:t>镇</w:t>
      </w:r>
      <w:r>
        <w:rPr>
          <w:rFonts w:hint="eastAsia" w:ascii="仿宋_GB2312" w:eastAsia="仿宋_GB2312"/>
          <w:sz w:val="32"/>
          <w:szCs w:val="32"/>
        </w:rPr>
        <w:t>人民政府</w:t>
      </w:r>
      <w:r>
        <w:rPr>
          <w:rFonts w:hint="eastAsia" w:ascii="仿宋_GB2312" w:eastAsia="仿宋_GB2312"/>
          <w:sz w:val="32"/>
          <w:szCs w:val="32"/>
          <w:lang w:eastAsia="zh-CN"/>
        </w:rPr>
        <w:t>（街道办事处）</w:t>
      </w:r>
      <w:r>
        <w:rPr>
          <w:rFonts w:hint="eastAsia" w:ascii="仿宋_GB2312" w:eastAsia="仿宋_GB2312"/>
          <w:sz w:val="32"/>
          <w:szCs w:val="32"/>
        </w:rPr>
        <w:t>应当通过城乡规划和相关专项规划，加强对餐饮业布局引导，合理设置、调整餐饮业经营区域。</w:t>
      </w:r>
    </w:p>
    <w:p>
      <w:pPr>
        <w:ind w:firstLine="640" w:firstLineChars="200"/>
        <w:rPr>
          <w:rFonts w:hint="eastAsia" w:ascii="仿宋_GB2312" w:eastAsia="仿宋_GB2312"/>
          <w:sz w:val="32"/>
          <w:szCs w:val="32"/>
        </w:rPr>
      </w:pPr>
      <w:r>
        <w:rPr>
          <w:rFonts w:hint="eastAsia" w:ascii="仿宋_GB2312" w:eastAsia="仿宋_GB2312"/>
          <w:sz w:val="32"/>
          <w:szCs w:val="32"/>
        </w:rPr>
        <w:t>餐饮业布局规划应当按照环境功能区和污染防治的要求，合理规划餐饮业布局。</w:t>
      </w:r>
    </w:p>
    <w:p>
      <w:pPr>
        <w:ind w:firstLine="640" w:firstLineChars="200"/>
        <w:rPr>
          <w:rFonts w:hint="eastAsia" w:ascii="仿宋_GB2312" w:eastAsia="仿宋_GB2312"/>
          <w:sz w:val="32"/>
          <w:szCs w:val="32"/>
        </w:rPr>
      </w:pPr>
      <w:r>
        <w:rPr>
          <w:rFonts w:hint="eastAsia" w:ascii="黑体" w:hAnsi="黑体" w:eastAsia="黑体" w:cs="黑体"/>
          <w:sz w:val="32"/>
          <w:szCs w:val="32"/>
          <w:lang w:eastAsia="zh-CN"/>
        </w:rPr>
        <w:t>第五条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餐饮业集中经营区域和提供餐饮服务的宾馆、酒店等建设项目(以下简称餐饮建设项目)，在设计时应当按照规定合理安排专用烟道、污水排放管道等，预留废气、噪声、异味等污染防治设施的安装位置。</w:t>
      </w:r>
    </w:p>
    <w:p>
      <w:pPr>
        <w:ind w:firstLine="640" w:firstLineChars="200"/>
        <w:rPr>
          <w:rFonts w:hint="eastAsia" w:ascii="仿宋_GB2312" w:eastAsia="仿宋_GB2312"/>
          <w:sz w:val="32"/>
          <w:szCs w:val="32"/>
        </w:rPr>
      </w:pPr>
      <w:r>
        <w:rPr>
          <w:rFonts w:hint="eastAsia" w:ascii="仿宋_GB2312" w:eastAsia="仿宋_GB2312"/>
          <w:sz w:val="32"/>
          <w:szCs w:val="32"/>
        </w:rPr>
        <w:t>在成片开发的居住区域，餐饮场所应当独立于居民住宅楼。</w:t>
      </w:r>
    </w:p>
    <w:p>
      <w:pPr>
        <w:ind w:firstLine="640" w:firstLineChars="200"/>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餐饮建设项目需要配套的污染防治设施，必须与主体工程同时设计、同时施工、同时投入使用。</w:t>
      </w:r>
    </w:p>
    <w:p>
      <w:pPr>
        <w:ind w:firstLine="640" w:firstLineChars="200"/>
        <w:rPr>
          <w:rFonts w:hint="eastAsia" w:ascii="仿宋_GB2312" w:eastAsia="仿宋_GB2312"/>
          <w:sz w:val="32"/>
          <w:szCs w:val="32"/>
        </w:rPr>
      </w:pPr>
      <w:r>
        <w:rPr>
          <w:rFonts w:hint="eastAsia" w:ascii="仿宋_GB2312" w:eastAsia="仿宋_GB2312"/>
          <w:sz w:val="32"/>
          <w:szCs w:val="32"/>
        </w:rPr>
        <w:t>餐饮建设项目配套的污染防治设施应当符合《饮食业环境保护技术规范》的相关要求。</w:t>
      </w:r>
    </w:p>
    <w:p>
      <w:pPr>
        <w:ind w:firstLine="640" w:firstLineChars="200"/>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禁止在下列区域或者场所新建、改建、扩建产生油烟、异味、废气的餐饮服务项目:</w:t>
      </w:r>
    </w:p>
    <w:p>
      <w:pPr>
        <w:ind w:firstLine="640" w:firstLineChars="200"/>
        <w:rPr>
          <w:rFonts w:hint="eastAsia" w:ascii="仿宋_GB2312" w:eastAsia="仿宋_GB2312"/>
          <w:sz w:val="32"/>
          <w:szCs w:val="32"/>
        </w:rPr>
      </w:pPr>
      <w:r>
        <w:rPr>
          <w:rFonts w:hint="eastAsia" w:ascii="仿宋_GB2312" w:eastAsia="仿宋_GB2312"/>
          <w:sz w:val="32"/>
          <w:szCs w:val="32"/>
        </w:rPr>
        <w:t>(一)居民住宅楼;</w:t>
      </w:r>
    </w:p>
    <w:p>
      <w:pPr>
        <w:ind w:firstLine="640" w:firstLineChars="200"/>
        <w:rPr>
          <w:rFonts w:hint="eastAsia" w:ascii="仿宋_GB2312" w:eastAsia="仿宋_GB2312"/>
          <w:sz w:val="32"/>
          <w:szCs w:val="32"/>
        </w:rPr>
      </w:pPr>
      <w:r>
        <w:rPr>
          <w:rFonts w:hint="eastAsia" w:ascii="仿宋_GB2312" w:eastAsia="仿宋_GB2312"/>
          <w:sz w:val="32"/>
          <w:szCs w:val="32"/>
        </w:rPr>
        <w:t>(二)未配套设立专用烟道的商住综合楼;</w:t>
      </w:r>
    </w:p>
    <w:p>
      <w:pPr>
        <w:ind w:firstLine="640" w:firstLineChars="200"/>
        <w:rPr>
          <w:rFonts w:hint="eastAsia" w:ascii="仿宋_GB2312" w:eastAsia="仿宋_GB2312"/>
          <w:sz w:val="32"/>
          <w:szCs w:val="32"/>
        </w:rPr>
      </w:pPr>
      <w:r>
        <w:rPr>
          <w:rFonts w:hint="eastAsia" w:ascii="仿宋_GB2312" w:eastAsia="仿宋_GB2312"/>
          <w:sz w:val="32"/>
          <w:szCs w:val="32"/>
        </w:rPr>
        <w:t>(三)商住综合楼内与居住层相邻的商业楼层;</w:t>
      </w:r>
    </w:p>
    <w:p>
      <w:pPr>
        <w:ind w:firstLine="640" w:firstLineChars="200"/>
        <w:rPr>
          <w:rFonts w:hint="eastAsia" w:ascii="仿宋_GB2312" w:eastAsia="仿宋_GB2312"/>
          <w:sz w:val="32"/>
          <w:szCs w:val="32"/>
        </w:rPr>
      </w:pPr>
      <w:r>
        <w:rPr>
          <w:rFonts w:hint="eastAsia" w:ascii="仿宋_GB2312" w:eastAsia="仿宋_GB2312"/>
          <w:sz w:val="32"/>
          <w:szCs w:val="32"/>
        </w:rPr>
        <w:t>(四)法律、法规规定的其他区域或者场所。</w:t>
      </w:r>
    </w:p>
    <w:p>
      <w:pPr>
        <w:ind w:firstLine="640" w:firstLineChars="200"/>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新建、改建、扩建餐饮建设项目，应当编制环境影响报告表或者填写环境影响登记表，报环境保护主管部门审批或者备案。</w:t>
      </w:r>
    </w:p>
    <w:p>
      <w:pPr>
        <w:ind w:firstLine="640" w:firstLineChars="200"/>
        <w:rPr>
          <w:rFonts w:hint="eastAsia" w:ascii="仿宋_GB2312" w:eastAsia="仿宋_GB2312"/>
          <w:sz w:val="32"/>
          <w:szCs w:val="32"/>
        </w:rPr>
      </w:pPr>
      <w:r>
        <w:rPr>
          <w:rFonts w:hint="eastAsia" w:ascii="仿宋_GB2312" w:eastAsia="仿宋_GB2312"/>
          <w:sz w:val="32"/>
          <w:szCs w:val="32"/>
        </w:rPr>
        <w:t>新建、改建、扩建餐饮服务项目，依照相关规定，填写环境影响登记表，报环境保护主管部门备案。</w:t>
      </w:r>
    </w:p>
    <w:p>
      <w:pPr>
        <w:ind w:firstLine="640" w:firstLineChars="200"/>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建设单位或者餐饮业经营者应当按照确定的环境影响评价类别进行环境影响评价，不得擅自改变。</w:t>
      </w:r>
    </w:p>
    <w:p>
      <w:pPr>
        <w:ind w:firstLine="640" w:firstLineChars="200"/>
        <w:rPr>
          <w:rFonts w:hint="eastAsia" w:ascii="仿宋_GB2312" w:eastAsia="仿宋_GB2312"/>
          <w:sz w:val="32"/>
          <w:szCs w:val="32"/>
        </w:rPr>
      </w:pPr>
      <w:r>
        <w:rPr>
          <w:rFonts w:hint="eastAsia" w:ascii="黑体" w:hAnsi="黑体" w:eastAsia="黑体" w:cs="黑体"/>
          <w:sz w:val="32"/>
          <w:szCs w:val="32"/>
        </w:rPr>
        <w:t>第十条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餐饮业经营者应当依法取得相关证照后方可经营;物业所有人、使用人或者管理人不得将物业出租、出借给其他单位或者个人无证照经营餐饮业。</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市行政审批局应当在收到餐饮业经营许可申请后</w:t>
      </w:r>
      <w:r>
        <w:rPr>
          <w:rFonts w:hint="eastAsia" w:ascii="仿宋_GB2312" w:eastAsia="仿宋_GB2312"/>
          <w:sz w:val="32"/>
          <w:szCs w:val="32"/>
          <w:lang w:val="en-US" w:eastAsia="zh-CN"/>
        </w:rPr>
        <w:t>2个工作日内，将申请人的申请事项信息反馈给申请经营的场所所在地镇人民政府（街道办事处），相关镇人民政府（街道办事处）在收到市行政审批局关于餐饮业申请事项信息后，应当在2个工作日内牵头环保、城管、水利、市监等部门对申请的经营场所进行联合勘查，并将勘查结果告知给市行政审批局，餐饮业的选址等不符合法定条件的市行政审批局一律不予行政许可。</w:t>
      </w:r>
    </w:p>
    <w:p>
      <w:pPr>
        <w:ind w:firstLine="640" w:firstLineChars="200"/>
        <w:rPr>
          <w:rFonts w:hint="default" w:ascii="黑体" w:hAnsi="黑体" w:eastAsia="黑体"/>
          <w:color w:val="000000"/>
          <w:kern w:val="0"/>
          <w:sz w:val="32"/>
          <w:szCs w:val="32"/>
          <w:lang w:val="en-US" w:eastAsia="zh-CN"/>
        </w:rPr>
      </w:pPr>
      <w:r>
        <w:rPr>
          <w:rFonts w:hint="eastAsia" w:ascii="仿宋_GB2312" w:eastAsia="仿宋_GB2312"/>
          <w:sz w:val="32"/>
          <w:szCs w:val="32"/>
          <w:lang w:val="en-US" w:eastAsia="zh-CN"/>
        </w:rPr>
        <w:t>现有餐饮业在经营许可期限内需要变更或者经营许可到期需要延续的，市行政审批局、所在地镇人民政府（街道办事处）、环保、城管、水利、市监等部门应当按照前款规定予以查验，符合规定的，应当依法准予延期；不符合规定的，应当作出不准予延期的决定。</w:t>
      </w:r>
    </w:p>
    <w:p>
      <w:pPr>
        <w:widowControl/>
        <w:spacing w:line="540" w:lineRule="atLeast"/>
        <w:jc w:val="center"/>
        <w:rPr>
          <w:rFonts w:ascii="Helvetica" w:hAnsi="Helvetica" w:cs="Helvetica"/>
          <w:color w:val="000000"/>
          <w:kern w:val="0"/>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三</w:t>
      </w:r>
      <w:r>
        <w:rPr>
          <w:rFonts w:hint="eastAsia" w:ascii="黑体" w:hAnsi="黑体" w:eastAsia="黑体"/>
          <w:color w:val="000000"/>
          <w:kern w:val="0"/>
          <w:sz w:val="32"/>
          <w:szCs w:val="32"/>
        </w:rPr>
        <w:t>章</w:t>
      </w:r>
      <w:r>
        <w:rPr>
          <w:rFonts w:ascii="Times New Roman" w:hAnsi="Times New Roman"/>
          <w:color w:val="000000"/>
          <w:kern w:val="0"/>
          <w:sz w:val="32"/>
          <w:szCs w:val="32"/>
        </w:rPr>
        <w:t xml:space="preserve">  </w:t>
      </w:r>
      <w:r>
        <w:rPr>
          <w:rFonts w:hint="eastAsia" w:ascii="黑体" w:hAnsi="黑体" w:eastAsia="黑体"/>
          <w:color w:val="000000"/>
          <w:kern w:val="0"/>
          <w:sz w:val="32"/>
          <w:szCs w:val="32"/>
        </w:rPr>
        <w:t>油烟净化设备选型</w:t>
      </w:r>
    </w:p>
    <w:p>
      <w:pPr>
        <w:widowControl/>
        <w:spacing w:line="540" w:lineRule="atLeast"/>
        <w:ind w:firstLine="615"/>
        <w:jc w:val="left"/>
        <w:rPr>
          <w:rFonts w:ascii="Helvetica" w:hAnsi="Helvetica" w:cs="Helvetica"/>
          <w:color w:val="000000"/>
          <w:kern w:val="0"/>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十一</w:t>
      </w:r>
      <w:r>
        <w:rPr>
          <w:rFonts w:hint="eastAsia" w:ascii="黑体" w:hAnsi="黑体" w:eastAsia="黑体"/>
          <w:color w:val="000000"/>
          <w:kern w:val="0"/>
          <w:sz w:val="32"/>
          <w:szCs w:val="32"/>
        </w:rPr>
        <w:t>条</w:t>
      </w:r>
      <w:r>
        <w:rPr>
          <w:rFonts w:ascii="Times New Roman" w:hAnsi="Times New Roman"/>
          <w:color w:val="000000"/>
          <w:kern w:val="0"/>
          <w:sz w:val="32"/>
          <w:szCs w:val="32"/>
        </w:rPr>
        <w:t xml:space="preserve">  </w:t>
      </w:r>
      <w:r>
        <w:rPr>
          <w:rFonts w:hint="eastAsia" w:ascii="仿宋_GB2312" w:hAnsi="Times New Roman" w:eastAsia="仿宋_GB2312"/>
          <w:color w:val="000000"/>
          <w:kern w:val="0"/>
          <w:sz w:val="32"/>
          <w:szCs w:val="32"/>
        </w:rPr>
        <w:t>餐饮油烟净化设</w:t>
      </w:r>
      <w:r>
        <w:rPr>
          <w:rFonts w:hint="eastAsia" w:ascii="仿宋_GB2312" w:hAnsi="Helvetica" w:eastAsia="仿宋_GB2312" w:cs="Helvetica"/>
          <w:color w:val="000000"/>
          <w:kern w:val="0"/>
          <w:sz w:val="32"/>
          <w:szCs w:val="32"/>
        </w:rPr>
        <w:t>备</w:t>
      </w:r>
      <w:r>
        <w:rPr>
          <w:rFonts w:hint="eastAsia" w:ascii="仿宋_GB2312" w:hAnsi="Times New Roman" w:eastAsia="仿宋_GB2312"/>
          <w:color w:val="000000"/>
          <w:kern w:val="0"/>
          <w:sz w:val="32"/>
          <w:szCs w:val="32"/>
        </w:rPr>
        <w:t>应当选用动态物理屏蔽、水喷淋洗涤、高压静电（等离子）、物理过滤（丝网、活性炭、钢丝等）、光催化、生物净化和液沫洗涤等环保、高效技术工艺设备配套建设，餐饮油烟排放限值符合《饮食业油烟排放标准》。</w:t>
      </w:r>
    </w:p>
    <w:p>
      <w:pPr>
        <w:widowControl/>
        <w:spacing w:line="540" w:lineRule="atLeast"/>
        <w:ind w:firstLine="615"/>
        <w:jc w:val="left"/>
        <w:rPr>
          <w:rFonts w:ascii="Helvetica" w:hAnsi="Helvetica" w:cs="Helvetica"/>
          <w:color w:val="000000"/>
          <w:kern w:val="0"/>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十二</w:t>
      </w:r>
      <w:r>
        <w:rPr>
          <w:rFonts w:hint="eastAsia" w:ascii="黑体" w:hAnsi="黑体" w:eastAsia="黑体"/>
          <w:color w:val="000000"/>
          <w:kern w:val="0"/>
          <w:sz w:val="32"/>
          <w:szCs w:val="32"/>
        </w:rPr>
        <w:t>条</w:t>
      </w:r>
      <w:r>
        <w:rPr>
          <w:rFonts w:ascii="Times New Roman" w:hAnsi="Times New Roman"/>
          <w:color w:val="000000"/>
          <w:kern w:val="0"/>
          <w:sz w:val="32"/>
          <w:szCs w:val="32"/>
        </w:rPr>
        <w:t xml:space="preserve">  </w:t>
      </w:r>
      <w:r>
        <w:rPr>
          <w:rFonts w:hint="eastAsia" w:ascii="仿宋_GB2312" w:hAnsi="Times New Roman" w:eastAsia="仿宋_GB2312"/>
          <w:color w:val="000000"/>
          <w:kern w:val="0"/>
          <w:sz w:val="32"/>
          <w:szCs w:val="32"/>
        </w:rPr>
        <w:t>餐饮油烟净化设备必须获得国家环保产品质量认证（</w:t>
      </w:r>
      <w:r>
        <w:rPr>
          <w:rFonts w:ascii="Times New Roman" w:hAnsi="Times New Roman"/>
          <w:color w:val="000000"/>
          <w:kern w:val="0"/>
          <w:sz w:val="32"/>
          <w:szCs w:val="32"/>
        </w:rPr>
        <w:t>CCEP</w:t>
      </w:r>
      <w:r>
        <w:rPr>
          <w:rFonts w:hint="eastAsia" w:ascii="宋体" w:hAnsi="宋体"/>
          <w:color w:val="000000"/>
          <w:kern w:val="0"/>
          <w:sz w:val="32"/>
          <w:szCs w:val="32"/>
        </w:rPr>
        <w:t>环保产品</w:t>
      </w:r>
      <w:r>
        <w:rPr>
          <w:rFonts w:hint="eastAsia" w:ascii="仿宋_GB2312" w:hAnsi="Times New Roman" w:eastAsia="仿宋_GB2312"/>
          <w:color w:val="000000"/>
          <w:kern w:val="0"/>
          <w:sz w:val="32"/>
          <w:szCs w:val="32"/>
        </w:rPr>
        <w:t>认证）。</w:t>
      </w:r>
    </w:p>
    <w:p>
      <w:pPr>
        <w:widowControl/>
        <w:spacing w:line="540" w:lineRule="atLeast"/>
        <w:ind w:firstLine="615"/>
        <w:jc w:val="left"/>
        <w:rPr>
          <w:rFonts w:ascii="Helvetica" w:hAnsi="Helvetica" w:cs="Helvetica"/>
          <w:color w:val="000000"/>
          <w:kern w:val="0"/>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十三</w:t>
      </w:r>
      <w:r>
        <w:rPr>
          <w:rFonts w:hint="eastAsia" w:ascii="黑体" w:hAnsi="黑体" w:eastAsia="黑体"/>
          <w:color w:val="000000"/>
          <w:kern w:val="0"/>
          <w:sz w:val="32"/>
          <w:szCs w:val="32"/>
        </w:rPr>
        <w:t>条</w:t>
      </w:r>
      <w:r>
        <w:rPr>
          <w:rFonts w:ascii="Times New Roman" w:hAnsi="Times New Roman"/>
          <w:color w:val="000000"/>
          <w:kern w:val="0"/>
          <w:sz w:val="32"/>
          <w:szCs w:val="32"/>
        </w:rPr>
        <w:t xml:space="preserve">  </w:t>
      </w:r>
      <w:r>
        <w:rPr>
          <w:rFonts w:hint="eastAsia" w:ascii="仿宋_GB2312" w:hAnsi="Times New Roman" w:eastAsia="仿宋_GB2312"/>
          <w:color w:val="000000"/>
          <w:kern w:val="0"/>
          <w:sz w:val="32"/>
          <w:szCs w:val="32"/>
        </w:rPr>
        <w:t>餐饮油烟净化设备应当在显著位置设置标牌，标牌标明以下主要内容：</w:t>
      </w:r>
    </w:p>
    <w:p>
      <w:pPr>
        <w:widowControl/>
        <w:spacing w:line="540" w:lineRule="atLeast"/>
        <w:ind w:firstLine="615"/>
        <w:jc w:val="left"/>
        <w:rPr>
          <w:rFonts w:ascii="Helvetica" w:hAnsi="Helvetica" w:cs="Helvetica"/>
          <w:color w:val="000000"/>
          <w:kern w:val="0"/>
        </w:rPr>
      </w:pPr>
      <w:r>
        <w:rPr>
          <w:rFonts w:hint="eastAsia" w:ascii="仿宋_GB2312" w:hAnsi="Times New Roman" w:eastAsia="仿宋_GB2312"/>
          <w:color w:val="000000"/>
          <w:kern w:val="0"/>
          <w:sz w:val="32"/>
          <w:szCs w:val="32"/>
        </w:rPr>
        <w:t>（一）产品名称、规格型号；</w:t>
      </w:r>
    </w:p>
    <w:p>
      <w:pPr>
        <w:widowControl/>
        <w:spacing w:line="540" w:lineRule="atLeast"/>
        <w:ind w:firstLine="615"/>
        <w:jc w:val="left"/>
        <w:rPr>
          <w:rFonts w:ascii="Helvetica" w:hAnsi="Helvetica" w:cs="Helvetica"/>
          <w:color w:val="000000"/>
          <w:kern w:val="0"/>
        </w:rPr>
      </w:pPr>
      <w:r>
        <w:rPr>
          <w:rFonts w:hint="eastAsia" w:ascii="仿宋_GB2312" w:hAnsi="Times New Roman" w:eastAsia="仿宋_GB2312"/>
          <w:color w:val="000000"/>
          <w:kern w:val="0"/>
          <w:sz w:val="32"/>
          <w:szCs w:val="32"/>
        </w:rPr>
        <w:t>（二）处理风量、净化效率、最高进口油烟浓度、设备阻力；</w:t>
      </w:r>
    </w:p>
    <w:p>
      <w:pPr>
        <w:widowControl/>
        <w:spacing w:line="540" w:lineRule="atLeast"/>
        <w:ind w:firstLine="615"/>
        <w:jc w:val="left"/>
        <w:rPr>
          <w:rFonts w:ascii="Helvetica" w:hAnsi="Helvetica" w:cs="Helvetica"/>
          <w:color w:val="000000"/>
          <w:kern w:val="0"/>
        </w:rPr>
      </w:pPr>
      <w:r>
        <w:rPr>
          <w:rFonts w:hint="eastAsia" w:ascii="仿宋_GB2312" w:hAnsi="Times New Roman" w:eastAsia="仿宋_GB2312"/>
          <w:color w:val="000000"/>
          <w:kern w:val="0"/>
          <w:sz w:val="32"/>
          <w:szCs w:val="32"/>
        </w:rPr>
        <w:t>（三）生产厂名、地址、联系方式；</w:t>
      </w:r>
    </w:p>
    <w:p>
      <w:pPr>
        <w:widowControl/>
        <w:spacing w:line="540" w:lineRule="atLeast"/>
        <w:ind w:firstLine="615"/>
        <w:jc w:val="left"/>
        <w:rPr>
          <w:rFonts w:ascii="Helvetica" w:hAnsi="Helvetica" w:cs="Helvetica"/>
          <w:color w:val="000000"/>
          <w:kern w:val="0"/>
        </w:rPr>
      </w:pPr>
      <w:r>
        <w:rPr>
          <w:rFonts w:hint="eastAsia" w:ascii="仿宋_GB2312" w:hAnsi="Times New Roman" w:eastAsia="仿宋_GB2312"/>
          <w:color w:val="000000"/>
          <w:kern w:val="0"/>
          <w:sz w:val="32"/>
          <w:szCs w:val="32"/>
        </w:rPr>
        <w:t>（四）产品出厂日期、使用年限和产品编号。</w:t>
      </w:r>
    </w:p>
    <w:p>
      <w:pPr>
        <w:widowControl/>
        <w:spacing w:line="540" w:lineRule="atLeast"/>
        <w:jc w:val="center"/>
        <w:rPr>
          <w:rFonts w:ascii="Helvetica" w:hAnsi="Helvetica" w:cs="Helvetica"/>
          <w:color w:val="000000"/>
          <w:kern w:val="0"/>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四</w:t>
      </w:r>
      <w:r>
        <w:rPr>
          <w:rFonts w:hint="eastAsia" w:ascii="黑体" w:hAnsi="黑体" w:eastAsia="黑体"/>
          <w:color w:val="000000"/>
          <w:kern w:val="0"/>
          <w:sz w:val="32"/>
          <w:szCs w:val="32"/>
        </w:rPr>
        <w:t>章</w:t>
      </w:r>
      <w:r>
        <w:rPr>
          <w:rFonts w:ascii="Times New Roman" w:hAnsi="Times New Roman"/>
          <w:color w:val="000000"/>
          <w:kern w:val="0"/>
          <w:sz w:val="32"/>
          <w:szCs w:val="32"/>
        </w:rPr>
        <w:t xml:space="preserve">  </w:t>
      </w:r>
      <w:r>
        <w:rPr>
          <w:rFonts w:hint="eastAsia" w:ascii="黑体" w:hAnsi="黑体" w:eastAsia="黑体"/>
          <w:color w:val="000000"/>
          <w:kern w:val="0"/>
          <w:sz w:val="32"/>
          <w:szCs w:val="32"/>
        </w:rPr>
        <w:t>油烟净化设施安装</w:t>
      </w:r>
    </w:p>
    <w:p>
      <w:pPr>
        <w:widowControl/>
        <w:spacing w:line="540" w:lineRule="atLeast"/>
        <w:ind w:firstLine="615"/>
        <w:jc w:val="left"/>
        <w:rPr>
          <w:rFonts w:ascii="Helvetica" w:hAnsi="Helvetica" w:cs="Helvetica"/>
          <w:color w:val="000000"/>
          <w:kern w:val="0"/>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十四</w:t>
      </w:r>
      <w:r>
        <w:rPr>
          <w:rFonts w:hint="eastAsia" w:ascii="黑体" w:hAnsi="黑体" w:eastAsia="黑体"/>
          <w:color w:val="000000"/>
          <w:kern w:val="0"/>
          <w:sz w:val="32"/>
          <w:szCs w:val="32"/>
        </w:rPr>
        <w:t>条</w:t>
      </w:r>
      <w:r>
        <w:rPr>
          <w:rFonts w:ascii="Times New Roman" w:hAnsi="Times New Roman"/>
          <w:color w:val="000000"/>
          <w:kern w:val="0"/>
          <w:sz w:val="32"/>
          <w:szCs w:val="32"/>
        </w:rPr>
        <w:t xml:space="preserve">  </w:t>
      </w:r>
      <w:r>
        <w:rPr>
          <w:rFonts w:hint="eastAsia" w:ascii="仿宋_GB2312" w:hAnsi="Times New Roman" w:eastAsia="仿宋_GB2312"/>
          <w:color w:val="000000"/>
          <w:kern w:val="0"/>
          <w:sz w:val="32"/>
          <w:szCs w:val="32"/>
        </w:rPr>
        <w:t>餐饮服务单位安装油烟净化设施应当达到如下技术规范和要求：</w:t>
      </w:r>
    </w:p>
    <w:p>
      <w:pPr>
        <w:widowControl/>
        <w:spacing w:line="540" w:lineRule="atLeast"/>
        <w:ind w:firstLine="615"/>
        <w:jc w:val="left"/>
        <w:rPr>
          <w:rFonts w:ascii="Helvetica" w:hAnsi="Helvetica" w:cs="Helvetica"/>
          <w:color w:val="000000"/>
          <w:kern w:val="0"/>
        </w:rPr>
      </w:pPr>
      <w:r>
        <w:rPr>
          <w:rFonts w:hint="eastAsia" w:ascii="仿宋_GB2312" w:hAnsi="Times New Roman" w:eastAsia="仿宋_GB2312"/>
          <w:color w:val="000000"/>
          <w:kern w:val="0"/>
          <w:sz w:val="32"/>
          <w:szCs w:val="32"/>
        </w:rPr>
        <w:t>（一）餐饮服务单位的厨房炉灶、蒸箱、烤炉（箱）等宜产生烟气的加工设施上方应当设置集气罩；油烟集气罩罩口投影面应当大于灶台面，罩口下沿离地适宜高度在</w:t>
      </w:r>
      <w:r>
        <w:rPr>
          <w:rFonts w:ascii="Times New Roman" w:hAnsi="Times New Roman"/>
          <w:color w:val="000000"/>
          <w:kern w:val="0"/>
          <w:sz w:val="32"/>
          <w:szCs w:val="32"/>
        </w:rPr>
        <w:t>1.8</w:t>
      </w:r>
      <w:r>
        <w:rPr>
          <w:rFonts w:hint="eastAsia" w:ascii="仿宋_GB2312" w:hAnsi="Times New Roman" w:eastAsia="仿宋_GB2312"/>
          <w:color w:val="000000"/>
          <w:kern w:val="0"/>
          <w:sz w:val="32"/>
          <w:szCs w:val="32"/>
        </w:rPr>
        <w:t>～</w:t>
      </w:r>
      <w:r>
        <w:rPr>
          <w:rFonts w:ascii="Times New Roman" w:hAnsi="Times New Roman"/>
          <w:color w:val="000000"/>
          <w:kern w:val="0"/>
          <w:sz w:val="32"/>
          <w:szCs w:val="32"/>
        </w:rPr>
        <w:t>1.9m</w:t>
      </w:r>
      <w:r>
        <w:rPr>
          <w:rFonts w:hint="eastAsia" w:ascii="仿宋_GB2312" w:hAnsi="Times New Roman" w:eastAsia="仿宋_GB2312"/>
          <w:color w:val="000000"/>
          <w:kern w:val="0"/>
          <w:sz w:val="32"/>
          <w:szCs w:val="32"/>
        </w:rPr>
        <w:t>，罩口面风速不小于</w:t>
      </w:r>
      <w:r>
        <w:rPr>
          <w:rFonts w:ascii="Times New Roman" w:hAnsi="Times New Roman"/>
          <w:color w:val="000000"/>
          <w:kern w:val="0"/>
          <w:sz w:val="32"/>
          <w:szCs w:val="32"/>
        </w:rPr>
        <w:t>0.6m/s</w:t>
      </w:r>
      <w:r>
        <w:rPr>
          <w:rFonts w:hint="eastAsia" w:ascii="仿宋_GB2312" w:hAnsi="Times New Roman" w:eastAsia="仿宋_GB2312"/>
          <w:color w:val="000000"/>
          <w:kern w:val="0"/>
          <w:sz w:val="32"/>
          <w:szCs w:val="32"/>
        </w:rPr>
        <w:t>；</w:t>
      </w:r>
    </w:p>
    <w:p>
      <w:pPr>
        <w:widowControl/>
        <w:spacing w:line="540" w:lineRule="atLeast"/>
        <w:ind w:firstLine="615"/>
        <w:jc w:val="left"/>
        <w:rPr>
          <w:rFonts w:ascii="Helvetica" w:hAnsi="Helvetica" w:cs="Helvetica"/>
          <w:color w:val="000000"/>
          <w:kern w:val="0"/>
        </w:rPr>
      </w:pPr>
      <w:r>
        <w:rPr>
          <w:rFonts w:hint="eastAsia" w:ascii="仿宋_GB2312" w:hAnsi="Times New Roman" w:eastAsia="仿宋_GB2312"/>
          <w:color w:val="000000"/>
          <w:kern w:val="0"/>
          <w:sz w:val="32"/>
          <w:szCs w:val="32"/>
        </w:rPr>
        <w:t>（二）放置油烟净化设备的专用空间净高不宜低于</w:t>
      </w:r>
      <w:r>
        <w:rPr>
          <w:rFonts w:ascii="Times New Roman" w:hAnsi="Times New Roman"/>
          <w:color w:val="000000"/>
          <w:kern w:val="0"/>
          <w:sz w:val="32"/>
          <w:szCs w:val="32"/>
        </w:rPr>
        <w:t>1.5m</w:t>
      </w:r>
      <w:r>
        <w:rPr>
          <w:rFonts w:hint="eastAsia" w:ascii="仿宋_GB2312" w:hAnsi="Times New Roman" w:eastAsia="仿宋_GB2312"/>
          <w:color w:val="000000"/>
          <w:kern w:val="0"/>
          <w:sz w:val="32"/>
          <w:szCs w:val="32"/>
        </w:rPr>
        <w:t>，设备需要维护的一侧与其相邻的设备、墙壁、柱、板顶间的距离不小于</w:t>
      </w:r>
      <w:r>
        <w:rPr>
          <w:rFonts w:ascii="Times New Roman" w:hAnsi="Times New Roman"/>
          <w:color w:val="000000"/>
          <w:kern w:val="0"/>
          <w:sz w:val="32"/>
          <w:szCs w:val="32"/>
        </w:rPr>
        <w:t>0.45m</w:t>
      </w:r>
      <w:r>
        <w:rPr>
          <w:rFonts w:hint="eastAsia" w:ascii="仿宋_GB2312" w:hAnsi="Times New Roman" w:eastAsia="仿宋_GB2312"/>
          <w:color w:val="000000"/>
          <w:kern w:val="0"/>
          <w:sz w:val="32"/>
          <w:szCs w:val="32"/>
        </w:rPr>
        <w:t>；</w:t>
      </w:r>
    </w:p>
    <w:p>
      <w:pPr>
        <w:widowControl/>
        <w:spacing w:line="540" w:lineRule="atLeast"/>
        <w:ind w:firstLine="615"/>
        <w:jc w:val="left"/>
        <w:rPr>
          <w:rFonts w:ascii="Helvetica" w:hAnsi="Helvetica" w:cs="Helvetica"/>
          <w:color w:val="000000"/>
          <w:kern w:val="0"/>
        </w:rPr>
      </w:pPr>
      <w:r>
        <w:rPr>
          <w:rFonts w:hint="eastAsia" w:ascii="仿宋_GB2312" w:hAnsi="Times New Roman" w:eastAsia="仿宋_GB2312"/>
          <w:color w:val="000000"/>
          <w:kern w:val="0"/>
          <w:sz w:val="32"/>
          <w:szCs w:val="32"/>
        </w:rPr>
        <w:t>（三）油烟净化器净化效果应完全符合《饮食业油烟排放标准》的相关要求。应标明油烟废气流向方向。油烟净化器应安装在排风机之前，并且尽可能的靠近集气罩；</w:t>
      </w:r>
    </w:p>
    <w:p>
      <w:pPr>
        <w:widowControl/>
        <w:spacing w:line="540" w:lineRule="atLeast"/>
        <w:ind w:firstLine="615"/>
        <w:jc w:val="left"/>
        <w:rPr>
          <w:rFonts w:ascii="Helvetica" w:hAnsi="Helvetica" w:cs="Helvetica"/>
          <w:color w:val="000000"/>
          <w:kern w:val="0"/>
        </w:rPr>
      </w:pPr>
      <w:r>
        <w:rPr>
          <w:rFonts w:hint="eastAsia" w:ascii="仿宋_GB2312" w:hAnsi="Times New Roman" w:eastAsia="仿宋_GB2312"/>
          <w:color w:val="000000"/>
          <w:kern w:val="0"/>
          <w:sz w:val="32"/>
          <w:szCs w:val="32"/>
        </w:rPr>
        <w:t>（四）经净化后的油烟排放口与周边环境敏感目标距离不小于</w:t>
      </w:r>
      <w:r>
        <w:rPr>
          <w:rFonts w:ascii="Times New Roman" w:hAnsi="Times New Roman"/>
          <w:color w:val="000000"/>
          <w:kern w:val="0"/>
          <w:sz w:val="32"/>
          <w:szCs w:val="32"/>
        </w:rPr>
        <w:t>20m</w:t>
      </w:r>
      <w:r>
        <w:rPr>
          <w:rFonts w:hint="eastAsia" w:ascii="仿宋_GB2312" w:hAnsi="Times New Roman" w:eastAsia="仿宋_GB2312"/>
          <w:color w:val="000000"/>
          <w:kern w:val="0"/>
          <w:sz w:val="32"/>
          <w:szCs w:val="32"/>
        </w:rPr>
        <w:t>；</w:t>
      </w:r>
    </w:p>
    <w:p>
      <w:pPr>
        <w:widowControl/>
        <w:spacing w:line="540" w:lineRule="atLeast"/>
        <w:ind w:firstLine="615"/>
        <w:jc w:val="left"/>
        <w:rPr>
          <w:rFonts w:ascii="Helvetica" w:hAnsi="Helvetica" w:cs="Helvetica"/>
          <w:color w:val="000000"/>
          <w:kern w:val="0"/>
        </w:rPr>
      </w:pPr>
      <w:r>
        <w:rPr>
          <w:rFonts w:hint="eastAsia" w:ascii="仿宋_GB2312" w:hAnsi="Times New Roman" w:eastAsia="仿宋_GB2312"/>
          <w:color w:val="000000"/>
          <w:kern w:val="0"/>
          <w:sz w:val="32"/>
          <w:szCs w:val="32"/>
        </w:rPr>
        <w:t>（五）油烟污染物排放，应当通过内置或者附着建筑主体外墙设置的专用烟道排放；</w:t>
      </w:r>
    </w:p>
    <w:p>
      <w:pPr>
        <w:widowControl/>
        <w:spacing w:line="540" w:lineRule="atLeast"/>
        <w:ind w:firstLine="615"/>
        <w:jc w:val="left"/>
        <w:rPr>
          <w:rFonts w:ascii="Helvetica" w:hAnsi="Helvetica" w:cs="Helvetica"/>
          <w:color w:val="000000"/>
          <w:kern w:val="0"/>
        </w:rPr>
      </w:pPr>
      <w:r>
        <w:rPr>
          <w:rFonts w:hint="eastAsia" w:ascii="仿宋_GB2312" w:hAnsi="Times New Roman" w:eastAsia="仿宋_GB2312"/>
          <w:color w:val="000000"/>
          <w:kern w:val="0"/>
          <w:sz w:val="32"/>
          <w:szCs w:val="32"/>
        </w:rPr>
        <w:t>（六）油烟气排风水平管道宜设坡度，坡面滑向集油、放油或排凝结水处，且与楼板的间距不小于</w:t>
      </w:r>
      <w:r>
        <w:rPr>
          <w:rFonts w:ascii="Times New Roman" w:hAnsi="Times New Roman"/>
          <w:color w:val="000000"/>
          <w:kern w:val="0"/>
          <w:sz w:val="32"/>
          <w:szCs w:val="32"/>
        </w:rPr>
        <w:t>0.10m</w:t>
      </w:r>
      <w:r>
        <w:rPr>
          <w:rFonts w:hint="eastAsia" w:ascii="仿宋_GB2312" w:hAnsi="Times New Roman" w:eastAsia="仿宋_GB2312"/>
          <w:color w:val="000000"/>
          <w:kern w:val="0"/>
          <w:sz w:val="32"/>
          <w:szCs w:val="32"/>
        </w:rPr>
        <w:t>，管道应密封无渗漏；</w:t>
      </w:r>
    </w:p>
    <w:p>
      <w:pPr>
        <w:widowControl/>
        <w:spacing w:line="540" w:lineRule="atLeast"/>
        <w:ind w:firstLine="615"/>
        <w:jc w:val="left"/>
        <w:rPr>
          <w:rFonts w:ascii="Helvetica" w:hAnsi="Helvetica" w:cs="Helvetica"/>
          <w:color w:val="000000"/>
          <w:kern w:val="0"/>
        </w:rPr>
      </w:pPr>
      <w:r>
        <w:rPr>
          <w:rFonts w:hint="eastAsia" w:ascii="仿宋_GB2312" w:hAnsi="Times New Roman" w:eastAsia="仿宋_GB2312"/>
          <w:color w:val="000000"/>
          <w:kern w:val="0"/>
          <w:sz w:val="32"/>
          <w:szCs w:val="32"/>
        </w:rPr>
        <w:t>（七）监测采样孔内径不小于</w:t>
      </w:r>
      <w:r>
        <w:rPr>
          <w:rFonts w:ascii="Times New Roman" w:hAnsi="Times New Roman"/>
          <w:color w:val="000000"/>
          <w:kern w:val="0"/>
          <w:sz w:val="32"/>
          <w:szCs w:val="32"/>
        </w:rPr>
        <w:t>80mm</w:t>
      </w:r>
      <w:r>
        <w:rPr>
          <w:rFonts w:hint="eastAsia" w:ascii="仿宋_GB2312" w:hAnsi="Times New Roman" w:eastAsia="仿宋_GB2312"/>
          <w:color w:val="000000"/>
          <w:kern w:val="0"/>
          <w:sz w:val="32"/>
          <w:szCs w:val="32"/>
        </w:rPr>
        <w:t>的圆形或正方形；监测口应采用活动挡板（管堵或管帽），监测时打开，监测完成后密闭；</w:t>
      </w:r>
    </w:p>
    <w:p>
      <w:pPr>
        <w:widowControl/>
        <w:spacing w:line="540" w:lineRule="atLeast"/>
        <w:ind w:firstLine="615"/>
        <w:jc w:val="left"/>
        <w:rPr>
          <w:rFonts w:ascii="Helvetica" w:hAnsi="Helvetica" w:cs="Helvetica"/>
          <w:color w:val="000000"/>
          <w:kern w:val="0"/>
        </w:rPr>
      </w:pPr>
      <w:r>
        <w:rPr>
          <w:rFonts w:hint="eastAsia" w:ascii="仿宋_GB2312" w:hAnsi="Times New Roman" w:eastAsia="仿宋_GB2312"/>
          <w:color w:val="000000"/>
          <w:kern w:val="0"/>
          <w:sz w:val="32"/>
          <w:szCs w:val="32"/>
        </w:rPr>
        <w:t>（八）餐饮服务单位的油烟净化设备额定处理风量不小于设计排风量（灶头数</w:t>
      </w:r>
      <w:r>
        <w:rPr>
          <w:rFonts w:ascii="Times New Roman" w:hAnsi="Times New Roman"/>
          <w:color w:val="000000"/>
          <w:kern w:val="0"/>
          <w:sz w:val="32"/>
          <w:szCs w:val="32"/>
        </w:rPr>
        <w:t>×</w:t>
      </w:r>
      <w:r>
        <w:rPr>
          <w:rFonts w:hint="eastAsia" w:ascii="仿宋_GB2312" w:hAnsi="Times New Roman" w:eastAsia="仿宋_GB2312"/>
          <w:color w:val="000000"/>
          <w:kern w:val="0"/>
          <w:sz w:val="32"/>
          <w:szCs w:val="32"/>
        </w:rPr>
        <w:t>基准风量，单个灶头的基准风量以</w:t>
      </w:r>
      <w:r>
        <w:rPr>
          <w:rFonts w:ascii="Times New Roman" w:hAnsi="Times New Roman"/>
          <w:color w:val="000000"/>
          <w:kern w:val="0"/>
          <w:sz w:val="32"/>
          <w:szCs w:val="32"/>
        </w:rPr>
        <w:t>2000m</w:t>
      </w:r>
      <w:r>
        <w:rPr>
          <w:rFonts w:ascii="Times New Roman" w:hAnsi="Times New Roman"/>
          <w:color w:val="000000"/>
          <w:kern w:val="0"/>
          <w:sz w:val="32"/>
          <w:szCs w:val="32"/>
          <w:vertAlign w:val="superscript"/>
        </w:rPr>
        <w:t>3</w:t>
      </w:r>
      <w:r>
        <w:rPr>
          <w:rFonts w:ascii="Times New Roman" w:hAnsi="Times New Roman"/>
          <w:color w:val="000000"/>
          <w:kern w:val="0"/>
          <w:sz w:val="32"/>
          <w:szCs w:val="32"/>
        </w:rPr>
        <w:t>/h</w:t>
      </w:r>
      <w:r>
        <w:rPr>
          <w:rFonts w:hint="eastAsia" w:ascii="仿宋_GB2312" w:hAnsi="Times New Roman" w:eastAsia="仿宋_GB2312"/>
          <w:color w:val="000000"/>
          <w:kern w:val="0"/>
          <w:sz w:val="32"/>
          <w:szCs w:val="32"/>
        </w:rPr>
        <w:t>计）。</w:t>
      </w:r>
    </w:p>
    <w:p>
      <w:pPr>
        <w:widowControl/>
        <w:spacing w:line="540" w:lineRule="atLeast"/>
        <w:ind w:firstLine="615"/>
        <w:jc w:val="left"/>
        <w:rPr>
          <w:rFonts w:ascii="Helvetica" w:hAnsi="Helvetica" w:cs="Helvetica"/>
          <w:color w:val="000000"/>
          <w:kern w:val="0"/>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十五</w:t>
      </w:r>
      <w:r>
        <w:rPr>
          <w:rFonts w:hint="eastAsia" w:ascii="黑体" w:hAnsi="黑体" w:eastAsia="黑体"/>
          <w:color w:val="000000"/>
          <w:kern w:val="0"/>
          <w:sz w:val="32"/>
          <w:szCs w:val="32"/>
        </w:rPr>
        <w:t>条</w:t>
      </w:r>
      <w:r>
        <w:rPr>
          <w:rFonts w:ascii="Times New Roman" w:hAnsi="Times New Roman"/>
          <w:color w:val="000000"/>
          <w:kern w:val="0"/>
          <w:sz w:val="32"/>
          <w:szCs w:val="32"/>
        </w:rPr>
        <w:t xml:space="preserve">  </w:t>
      </w:r>
      <w:r>
        <w:rPr>
          <w:rFonts w:hint="eastAsia" w:ascii="仿宋_GB2312" w:hAnsi="Times New Roman" w:eastAsia="仿宋_GB2312"/>
          <w:color w:val="000000"/>
          <w:kern w:val="0"/>
          <w:sz w:val="32"/>
          <w:szCs w:val="32"/>
        </w:rPr>
        <w:t>油烟净化分离和收集的油污、废水应当按照相关规定处理，不得直接排放造成二次污染。</w:t>
      </w:r>
    </w:p>
    <w:p>
      <w:pPr>
        <w:widowControl/>
        <w:spacing w:line="540" w:lineRule="atLeast"/>
        <w:ind w:firstLine="615"/>
        <w:jc w:val="left"/>
        <w:rPr>
          <w:rFonts w:ascii="Helvetica" w:hAnsi="Helvetica" w:cs="Helvetica"/>
          <w:color w:val="000000"/>
          <w:kern w:val="0"/>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十六</w:t>
      </w:r>
      <w:r>
        <w:rPr>
          <w:rFonts w:hint="eastAsia" w:ascii="黑体" w:hAnsi="黑体" w:eastAsia="黑体"/>
          <w:color w:val="000000"/>
          <w:kern w:val="0"/>
          <w:sz w:val="32"/>
          <w:szCs w:val="32"/>
        </w:rPr>
        <w:t>条</w:t>
      </w:r>
      <w:r>
        <w:rPr>
          <w:rFonts w:ascii="Times New Roman" w:hAnsi="Times New Roman"/>
          <w:color w:val="000000"/>
          <w:kern w:val="0"/>
          <w:sz w:val="32"/>
          <w:szCs w:val="32"/>
        </w:rPr>
        <w:t xml:space="preserve">  </w:t>
      </w:r>
      <w:r>
        <w:rPr>
          <w:rFonts w:hint="eastAsia" w:ascii="仿宋_GB2312" w:hAnsi="Times New Roman" w:eastAsia="仿宋_GB2312"/>
          <w:color w:val="000000"/>
          <w:kern w:val="0"/>
          <w:sz w:val="32"/>
          <w:szCs w:val="32"/>
        </w:rPr>
        <w:t>油烟净化器应与风机同步联动，共用电源控制开关，并采用漏电保护装置；控制开关应安装于方便操作和检查的适宜位置。</w:t>
      </w:r>
    </w:p>
    <w:p>
      <w:pPr>
        <w:widowControl/>
        <w:spacing w:line="540" w:lineRule="atLeast"/>
        <w:jc w:val="center"/>
        <w:rPr>
          <w:rFonts w:ascii="Helvetica" w:hAnsi="Helvetica" w:cs="Helvetica"/>
          <w:color w:val="000000"/>
          <w:kern w:val="0"/>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五</w:t>
      </w:r>
      <w:r>
        <w:rPr>
          <w:rFonts w:hint="eastAsia" w:ascii="黑体" w:hAnsi="黑体" w:eastAsia="黑体"/>
          <w:color w:val="000000"/>
          <w:kern w:val="0"/>
          <w:sz w:val="32"/>
          <w:szCs w:val="32"/>
        </w:rPr>
        <w:t>章</w:t>
      </w:r>
      <w:r>
        <w:rPr>
          <w:rFonts w:ascii="Times New Roman" w:hAnsi="Times New Roman"/>
          <w:color w:val="000000"/>
          <w:kern w:val="0"/>
          <w:sz w:val="32"/>
          <w:szCs w:val="32"/>
        </w:rPr>
        <w:t xml:space="preserve">  </w:t>
      </w:r>
      <w:r>
        <w:rPr>
          <w:rFonts w:hint="eastAsia" w:ascii="黑体" w:hAnsi="黑体" w:eastAsia="黑体"/>
          <w:color w:val="000000"/>
          <w:kern w:val="0"/>
          <w:sz w:val="32"/>
          <w:szCs w:val="32"/>
        </w:rPr>
        <w:t>油烟净化设施运行维护</w:t>
      </w:r>
    </w:p>
    <w:p>
      <w:pPr>
        <w:widowControl/>
        <w:spacing w:line="540" w:lineRule="atLeast"/>
        <w:ind w:firstLine="615"/>
        <w:jc w:val="left"/>
        <w:rPr>
          <w:rFonts w:ascii="Helvetica" w:hAnsi="Helvetica" w:cs="Helvetica"/>
          <w:color w:val="000000"/>
          <w:kern w:val="0"/>
        </w:rPr>
      </w:pPr>
      <w:r>
        <w:rPr>
          <w:rFonts w:hint="eastAsia" w:ascii="黑体" w:hAnsi="黑体" w:eastAsia="黑体"/>
          <w:color w:val="000000"/>
          <w:kern w:val="0"/>
          <w:sz w:val="32"/>
          <w:szCs w:val="32"/>
        </w:rPr>
        <w:t>第十</w:t>
      </w:r>
      <w:r>
        <w:rPr>
          <w:rFonts w:hint="eastAsia" w:ascii="黑体" w:hAnsi="黑体" w:eastAsia="黑体"/>
          <w:color w:val="000000"/>
          <w:kern w:val="0"/>
          <w:sz w:val="32"/>
          <w:szCs w:val="32"/>
          <w:lang w:eastAsia="zh-CN"/>
        </w:rPr>
        <w:t>七</w:t>
      </w:r>
      <w:r>
        <w:rPr>
          <w:rFonts w:hint="eastAsia" w:ascii="黑体" w:hAnsi="黑体" w:eastAsia="黑体"/>
          <w:color w:val="000000"/>
          <w:kern w:val="0"/>
          <w:sz w:val="32"/>
          <w:szCs w:val="32"/>
        </w:rPr>
        <w:t>条</w:t>
      </w:r>
      <w:r>
        <w:rPr>
          <w:rFonts w:ascii="Times New Roman" w:hAnsi="Times New Roman"/>
          <w:color w:val="000000"/>
          <w:kern w:val="0"/>
          <w:sz w:val="32"/>
          <w:szCs w:val="32"/>
        </w:rPr>
        <w:t xml:space="preserve">  </w:t>
      </w:r>
      <w:r>
        <w:rPr>
          <w:rFonts w:hint="eastAsia" w:ascii="仿宋_GB2312" w:hAnsi="Times New Roman" w:eastAsia="仿宋_GB2312"/>
          <w:color w:val="000000"/>
          <w:kern w:val="0"/>
          <w:sz w:val="32"/>
          <w:szCs w:val="32"/>
        </w:rPr>
        <w:t>餐饮服务单位应当定期进行油烟净化设施清洗维护。油烟净化设施原则上至少每月清洗、维护或更换滤料</w:t>
      </w:r>
      <w:r>
        <w:rPr>
          <w:rFonts w:ascii="Times New Roman" w:hAnsi="Times New Roman"/>
          <w:color w:val="000000"/>
          <w:kern w:val="0"/>
          <w:sz w:val="32"/>
          <w:szCs w:val="32"/>
        </w:rPr>
        <w:t>1</w:t>
      </w:r>
      <w:r>
        <w:rPr>
          <w:rFonts w:hint="eastAsia" w:ascii="仿宋_GB2312" w:hAnsi="Times New Roman" w:eastAsia="仿宋_GB2312"/>
          <w:color w:val="000000"/>
          <w:kern w:val="0"/>
          <w:sz w:val="32"/>
          <w:szCs w:val="32"/>
        </w:rPr>
        <w:t>次，油烟净化设施使用说明另有规定的按其要求执行。</w:t>
      </w:r>
    </w:p>
    <w:p>
      <w:pPr>
        <w:widowControl/>
        <w:spacing w:line="540" w:lineRule="atLeast"/>
        <w:ind w:firstLine="615"/>
        <w:jc w:val="left"/>
        <w:rPr>
          <w:rFonts w:ascii="Helvetica" w:hAnsi="Helvetica" w:cs="Helvetica"/>
          <w:color w:val="000000"/>
          <w:kern w:val="0"/>
        </w:rPr>
      </w:pPr>
      <w:r>
        <w:rPr>
          <w:rFonts w:hint="eastAsia" w:ascii="黑体" w:hAnsi="黑体" w:eastAsia="黑体"/>
          <w:color w:val="000000"/>
          <w:kern w:val="0"/>
          <w:sz w:val="32"/>
          <w:szCs w:val="32"/>
        </w:rPr>
        <w:t>第十</w:t>
      </w:r>
      <w:r>
        <w:rPr>
          <w:rFonts w:hint="eastAsia" w:ascii="黑体" w:hAnsi="黑体" w:eastAsia="黑体"/>
          <w:color w:val="000000"/>
          <w:kern w:val="0"/>
          <w:sz w:val="32"/>
          <w:szCs w:val="32"/>
          <w:lang w:eastAsia="zh-CN"/>
        </w:rPr>
        <w:t>八</w:t>
      </w:r>
      <w:r>
        <w:rPr>
          <w:rFonts w:hint="eastAsia" w:ascii="黑体" w:hAnsi="黑体" w:eastAsia="黑体"/>
          <w:color w:val="000000"/>
          <w:kern w:val="0"/>
          <w:sz w:val="32"/>
          <w:szCs w:val="32"/>
        </w:rPr>
        <w:t>条</w:t>
      </w:r>
      <w:r>
        <w:rPr>
          <w:rFonts w:ascii="Times New Roman" w:hAnsi="Times New Roman"/>
          <w:color w:val="000000"/>
          <w:kern w:val="0"/>
          <w:sz w:val="32"/>
          <w:szCs w:val="32"/>
        </w:rPr>
        <w:t xml:space="preserve">  </w:t>
      </w:r>
      <w:r>
        <w:rPr>
          <w:rFonts w:hint="eastAsia" w:ascii="仿宋_GB2312" w:hAnsi="Times New Roman" w:eastAsia="仿宋_GB2312"/>
          <w:color w:val="000000"/>
          <w:kern w:val="0"/>
          <w:sz w:val="32"/>
          <w:szCs w:val="32"/>
        </w:rPr>
        <w:t>餐饮服务单位应当如实做好油烟净化设施清洗维护记录，主要记录以下内容：</w:t>
      </w:r>
    </w:p>
    <w:p>
      <w:pPr>
        <w:widowControl/>
        <w:spacing w:line="540" w:lineRule="atLeast"/>
        <w:ind w:firstLine="615"/>
        <w:jc w:val="left"/>
        <w:rPr>
          <w:rFonts w:ascii="Helvetica" w:hAnsi="Helvetica" w:cs="Helvetica"/>
          <w:color w:val="000000"/>
          <w:kern w:val="0"/>
        </w:rPr>
      </w:pPr>
      <w:r>
        <w:rPr>
          <w:rFonts w:hint="eastAsia" w:ascii="仿宋_GB2312" w:hAnsi="Times New Roman" w:eastAsia="仿宋_GB2312"/>
          <w:color w:val="000000"/>
          <w:kern w:val="0"/>
          <w:sz w:val="32"/>
          <w:szCs w:val="32"/>
        </w:rPr>
        <w:t>（一）设备清洗：包括设备名称、清洗时间、清洗方式、清洗照片或视频、清洗人员签名；</w:t>
      </w:r>
    </w:p>
    <w:p>
      <w:pPr>
        <w:widowControl/>
        <w:spacing w:line="540" w:lineRule="atLeast"/>
        <w:ind w:firstLine="615"/>
        <w:jc w:val="left"/>
        <w:rPr>
          <w:rFonts w:ascii="Helvetica" w:hAnsi="Helvetica" w:cs="Helvetica"/>
          <w:color w:val="000000"/>
          <w:kern w:val="0"/>
        </w:rPr>
      </w:pPr>
      <w:r>
        <w:rPr>
          <w:rFonts w:hint="eastAsia" w:ascii="仿宋_GB2312" w:hAnsi="Times New Roman" w:eastAsia="仿宋_GB2312"/>
          <w:color w:val="000000"/>
          <w:kern w:val="0"/>
          <w:sz w:val="32"/>
          <w:szCs w:val="32"/>
        </w:rPr>
        <w:t>（二）设备维护：包括设备名称、维护时间、维护方式、零部件更换名称、维护人员签名；</w:t>
      </w:r>
    </w:p>
    <w:p>
      <w:pPr>
        <w:widowControl/>
        <w:spacing w:line="540" w:lineRule="atLeast"/>
        <w:ind w:firstLine="615"/>
        <w:jc w:val="left"/>
        <w:rPr>
          <w:rFonts w:ascii="Helvetica" w:hAnsi="Helvetica" w:cs="Helvetica"/>
          <w:color w:val="000000"/>
          <w:kern w:val="0"/>
        </w:rPr>
      </w:pPr>
      <w:r>
        <w:rPr>
          <w:rFonts w:hint="eastAsia" w:ascii="仿宋_GB2312" w:hAnsi="Times New Roman" w:eastAsia="仿宋_GB2312"/>
          <w:color w:val="000000"/>
          <w:kern w:val="0"/>
          <w:sz w:val="32"/>
          <w:szCs w:val="32"/>
        </w:rPr>
        <w:t>（三）设备更新：包括设备名称、更新时间、设备工艺、使用期限、生产厂家、安装人员签名。</w:t>
      </w:r>
    </w:p>
    <w:p>
      <w:pPr>
        <w:widowControl/>
        <w:spacing w:line="540" w:lineRule="atLeast"/>
        <w:ind w:firstLine="615"/>
        <w:jc w:val="left"/>
        <w:rPr>
          <w:rFonts w:ascii="Helvetica" w:hAnsi="Helvetica" w:cs="Helvetica"/>
          <w:color w:val="000000"/>
          <w:kern w:val="0"/>
        </w:rPr>
      </w:pPr>
      <w:r>
        <w:rPr>
          <w:rFonts w:hint="eastAsia" w:ascii="黑体" w:hAnsi="黑体" w:eastAsia="黑体"/>
          <w:color w:val="000000"/>
          <w:kern w:val="0"/>
          <w:sz w:val="32"/>
          <w:szCs w:val="32"/>
        </w:rPr>
        <w:t>第十</w:t>
      </w:r>
      <w:r>
        <w:rPr>
          <w:rFonts w:hint="eastAsia" w:ascii="黑体" w:hAnsi="黑体" w:eastAsia="黑体"/>
          <w:color w:val="000000"/>
          <w:kern w:val="0"/>
          <w:sz w:val="32"/>
          <w:szCs w:val="32"/>
          <w:lang w:eastAsia="zh-CN"/>
        </w:rPr>
        <w:t>九</w:t>
      </w:r>
      <w:r>
        <w:rPr>
          <w:rFonts w:hint="eastAsia" w:ascii="黑体" w:hAnsi="黑体" w:eastAsia="黑体"/>
          <w:color w:val="000000"/>
          <w:kern w:val="0"/>
          <w:sz w:val="32"/>
          <w:szCs w:val="32"/>
        </w:rPr>
        <w:t>条</w:t>
      </w:r>
      <w:r>
        <w:rPr>
          <w:rFonts w:ascii="Times New Roman" w:hAnsi="Times New Roman"/>
          <w:color w:val="000000"/>
          <w:kern w:val="0"/>
          <w:sz w:val="32"/>
          <w:szCs w:val="32"/>
        </w:rPr>
        <w:t xml:space="preserve">  </w:t>
      </w:r>
      <w:r>
        <w:rPr>
          <w:rFonts w:hint="eastAsia" w:ascii="仿宋_GB2312" w:hAnsi="Times New Roman" w:eastAsia="仿宋_GB2312"/>
          <w:color w:val="000000"/>
          <w:kern w:val="0"/>
          <w:sz w:val="32"/>
          <w:szCs w:val="32"/>
        </w:rPr>
        <w:t>餐饮服务单位的集排气系统和净化设备等设施清洗维护记录，采购设备、配件的票据，以及委托专业单位进行清洗维护的协议书和票据，应当保管完好备查。</w:t>
      </w:r>
    </w:p>
    <w:p>
      <w:pPr>
        <w:widowControl/>
        <w:spacing w:line="540" w:lineRule="atLeast"/>
        <w:ind w:firstLine="615"/>
        <w:jc w:val="left"/>
        <w:rPr>
          <w:rFonts w:ascii="Helvetica" w:hAnsi="Helvetica" w:cs="Helvetica"/>
          <w:color w:val="000000"/>
          <w:kern w:val="0"/>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二</w:t>
      </w:r>
      <w:r>
        <w:rPr>
          <w:rFonts w:hint="eastAsia" w:ascii="黑体" w:hAnsi="黑体" w:eastAsia="黑体"/>
          <w:color w:val="000000"/>
          <w:kern w:val="0"/>
          <w:sz w:val="32"/>
          <w:szCs w:val="32"/>
        </w:rPr>
        <w:t>十条</w:t>
      </w:r>
      <w:r>
        <w:rPr>
          <w:rFonts w:ascii="Times New Roman" w:hAnsi="Times New Roman"/>
          <w:color w:val="000000"/>
          <w:kern w:val="0"/>
          <w:sz w:val="32"/>
          <w:szCs w:val="32"/>
        </w:rPr>
        <w:t xml:space="preserve">  </w:t>
      </w:r>
      <w:r>
        <w:rPr>
          <w:rFonts w:hint="eastAsia" w:ascii="仿宋_GB2312" w:hAnsi="Times New Roman" w:eastAsia="仿宋_GB2312"/>
          <w:color w:val="000000"/>
          <w:kern w:val="0"/>
          <w:sz w:val="32"/>
          <w:szCs w:val="32"/>
        </w:rPr>
        <w:t>餐饮服务单位应定期检查油烟净化设施是否正常运转，设备管道密封是否完好，防止漏气、漏烟、漏油对环境的污染。</w:t>
      </w:r>
    </w:p>
    <w:p>
      <w:pPr>
        <w:widowControl/>
        <w:spacing w:line="540" w:lineRule="atLeast"/>
        <w:jc w:val="center"/>
        <w:rPr>
          <w:rFonts w:ascii="Helvetica" w:hAnsi="Helvetica" w:cs="Helvetica"/>
          <w:color w:val="000000"/>
          <w:kern w:val="0"/>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六</w:t>
      </w:r>
      <w:r>
        <w:rPr>
          <w:rFonts w:hint="eastAsia" w:ascii="黑体" w:hAnsi="黑体" w:eastAsia="黑体"/>
          <w:color w:val="000000"/>
          <w:kern w:val="0"/>
          <w:sz w:val="32"/>
          <w:szCs w:val="32"/>
        </w:rPr>
        <w:t>章</w:t>
      </w:r>
      <w:r>
        <w:rPr>
          <w:rFonts w:ascii="Times New Roman" w:hAnsi="Times New Roman"/>
          <w:color w:val="000000"/>
          <w:kern w:val="0"/>
          <w:sz w:val="32"/>
          <w:szCs w:val="32"/>
        </w:rPr>
        <w:t xml:space="preserve">  </w:t>
      </w:r>
      <w:r>
        <w:rPr>
          <w:rFonts w:hint="eastAsia" w:ascii="黑体" w:hAnsi="黑体" w:eastAsia="黑体"/>
          <w:color w:val="000000"/>
          <w:kern w:val="0"/>
          <w:sz w:val="32"/>
          <w:szCs w:val="32"/>
        </w:rPr>
        <w:t>油烟净化设施监督管理</w:t>
      </w:r>
    </w:p>
    <w:p>
      <w:pPr>
        <w:widowControl/>
        <w:spacing w:line="540" w:lineRule="atLeast"/>
        <w:ind w:firstLine="615"/>
        <w:jc w:val="left"/>
        <w:rPr>
          <w:rFonts w:ascii="Helvetica" w:hAnsi="Helvetica" w:cs="Helvetica"/>
          <w:color w:val="000000"/>
          <w:kern w:val="0"/>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二十一</w:t>
      </w:r>
      <w:r>
        <w:rPr>
          <w:rFonts w:hint="eastAsia" w:ascii="黑体" w:hAnsi="黑体" w:eastAsia="黑体"/>
          <w:color w:val="000000"/>
          <w:kern w:val="0"/>
          <w:sz w:val="32"/>
          <w:szCs w:val="32"/>
        </w:rPr>
        <w:t>条</w:t>
      </w:r>
      <w:r>
        <w:rPr>
          <w:rFonts w:ascii="Times New Roman" w:hAnsi="Times New Roman"/>
          <w:color w:val="000000"/>
          <w:kern w:val="0"/>
          <w:sz w:val="32"/>
          <w:szCs w:val="32"/>
        </w:rPr>
        <w:t xml:space="preserve">  </w:t>
      </w:r>
      <w:r>
        <w:rPr>
          <w:rFonts w:hint="eastAsia" w:ascii="仿宋_GB2312" w:hAnsi="Times New Roman" w:eastAsia="仿宋_GB2312"/>
          <w:color w:val="000000"/>
          <w:kern w:val="0"/>
          <w:sz w:val="32"/>
          <w:szCs w:val="32"/>
        </w:rPr>
        <w:t>新建、改建、扩建餐饮服务项目执行环境影响评价制度，油烟净化设施需经验收合格后，方可投入使用。</w:t>
      </w:r>
    </w:p>
    <w:p>
      <w:pPr>
        <w:widowControl/>
        <w:spacing w:line="540" w:lineRule="atLeast"/>
        <w:ind w:firstLine="615"/>
        <w:jc w:val="left"/>
        <w:rPr>
          <w:rFonts w:ascii="Helvetica" w:hAnsi="Helvetica" w:cs="Helvetica"/>
          <w:color w:val="000000"/>
          <w:kern w:val="0"/>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二十二</w:t>
      </w:r>
      <w:r>
        <w:rPr>
          <w:rFonts w:hint="eastAsia" w:ascii="黑体" w:hAnsi="黑体" w:eastAsia="黑体"/>
          <w:color w:val="000000"/>
          <w:kern w:val="0"/>
          <w:sz w:val="32"/>
          <w:szCs w:val="32"/>
        </w:rPr>
        <w:t>条</w:t>
      </w:r>
      <w:r>
        <w:rPr>
          <w:rFonts w:ascii="Times New Roman" w:hAnsi="Times New Roman"/>
          <w:color w:val="000000"/>
          <w:kern w:val="0"/>
          <w:sz w:val="32"/>
          <w:szCs w:val="32"/>
        </w:rPr>
        <w:t xml:space="preserve">  </w:t>
      </w:r>
      <w:r>
        <w:rPr>
          <w:rFonts w:hint="eastAsia" w:ascii="仿宋_GB2312" w:hAnsi="Times New Roman" w:eastAsia="仿宋_GB2312"/>
          <w:color w:val="000000"/>
          <w:kern w:val="0"/>
          <w:sz w:val="32"/>
          <w:szCs w:val="32"/>
        </w:rPr>
        <w:t>对选用未获得国家环保产品质量认证产品和不按规范要求安装油烟净化设施超标排放油烟污染物的餐饮服务单位，责令限期改正。</w:t>
      </w:r>
    </w:p>
    <w:p>
      <w:pPr>
        <w:widowControl/>
        <w:spacing w:line="540" w:lineRule="atLeast"/>
        <w:ind w:firstLine="615"/>
        <w:jc w:val="left"/>
        <w:rPr>
          <w:rFonts w:ascii="Helvetica" w:hAnsi="Helvetica" w:cs="Helvetica"/>
          <w:b w:val="0"/>
          <w:bCs w:val="0"/>
          <w:color w:val="000000" w:themeColor="text1"/>
          <w:kern w:val="0"/>
          <w14:textFill>
            <w14:solidFill>
              <w14:schemeClr w14:val="tx1"/>
            </w14:solidFill>
          </w14:textFill>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二十三</w:t>
      </w:r>
      <w:r>
        <w:rPr>
          <w:rFonts w:hint="eastAsia" w:ascii="黑体" w:hAnsi="黑体" w:eastAsia="黑体"/>
          <w:color w:val="000000"/>
          <w:kern w:val="0"/>
          <w:sz w:val="32"/>
          <w:szCs w:val="32"/>
        </w:rPr>
        <w:t>条</w:t>
      </w:r>
      <w:r>
        <w:rPr>
          <w:rFonts w:ascii="Times New Roman" w:hAnsi="Times New Roman"/>
          <w:color w:val="000000"/>
          <w:kern w:val="0"/>
          <w:sz w:val="32"/>
          <w:szCs w:val="32"/>
        </w:rPr>
        <w:t xml:space="preserve">  </w:t>
      </w:r>
      <w:r>
        <w:rPr>
          <w:rFonts w:hint="eastAsia" w:ascii="仿宋_GB2312" w:hAnsi="Helvetica" w:eastAsia="仿宋_GB2312" w:cs="Helvetica"/>
          <w:b w:val="0"/>
          <w:bCs w:val="0"/>
          <w:color w:val="000000" w:themeColor="text1"/>
          <w:kern w:val="0"/>
          <w:sz w:val="32"/>
          <w:szCs w:val="32"/>
          <w14:textFill>
            <w14:solidFill>
              <w14:schemeClr w14:val="tx1"/>
            </w14:solidFill>
          </w14:textFill>
        </w:rPr>
        <w:t>乡镇（街道）综合执法机构</w:t>
      </w:r>
      <w:r>
        <w:rPr>
          <w:rFonts w:hint="eastAsia" w:ascii="仿宋_GB2312" w:hAnsi="Times New Roman" w:eastAsia="仿宋_GB2312"/>
          <w:b w:val="0"/>
          <w:bCs w:val="0"/>
          <w:color w:val="000000" w:themeColor="text1"/>
          <w:kern w:val="0"/>
          <w:sz w:val="32"/>
          <w:szCs w:val="32"/>
          <w14:textFill>
            <w14:solidFill>
              <w14:schemeClr w14:val="tx1"/>
            </w14:solidFill>
          </w14:textFill>
        </w:rPr>
        <w:t>要建立和完善餐饮服务单位动态管理数据库、设备清单以及责任人等资料库。</w:t>
      </w:r>
    </w:p>
    <w:p>
      <w:pPr>
        <w:widowControl/>
        <w:spacing w:line="540" w:lineRule="atLeast"/>
        <w:ind w:firstLine="615"/>
        <w:jc w:val="left"/>
        <w:rPr>
          <w:rFonts w:ascii="Helvetica" w:hAnsi="Helvetica" w:cs="Helvetica"/>
          <w:b/>
          <w:bCs/>
          <w:color w:val="FF0000"/>
          <w:kern w:val="0"/>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二十四</w:t>
      </w:r>
      <w:r>
        <w:rPr>
          <w:rFonts w:hint="eastAsia" w:ascii="黑体" w:hAnsi="黑体" w:eastAsia="黑体"/>
          <w:color w:val="000000"/>
          <w:kern w:val="0"/>
          <w:sz w:val="32"/>
          <w:szCs w:val="32"/>
        </w:rPr>
        <w:t>条</w:t>
      </w:r>
      <w:r>
        <w:rPr>
          <w:rFonts w:ascii="Times New Roman" w:hAnsi="Times New Roman"/>
          <w:color w:val="000000"/>
          <w:kern w:val="0"/>
          <w:sz w:val="32"/>
          <w:szCs w:val="32"/>
        </w:rPr>
        <w:t xml:space="preserve"> </w:t>
      </w:r>
      <w:r>
        <w:rPr>
          <w:rFonts w:hint="eastAsia" w:ascii="宋体" w:hAnsi="宋体"/>
          <w:color w:val="000000"/>
          <w:kern w:val="0"/>
          <w:sz w:val="32"/>
          <w:szCs w:val="32"/>
        </w:rPr>
        <w:t xml:space="preserve"> </w:t>
      </w:r>
      <w:r>
        <w:rPr>
          <w:rFonts w:hint="eastAsia" w:ascii="仿宋_GB2312" w:hAnsi="Helvetica" w:eastAsia="仿宋_GB2312" w:cs="Helvetica"/>
          <w:b w:val="0"/>
          <w:bCs w:val="0"/>
          <w:color w:val="000000" w:themeColor="text1"/>
          <w:kern w:val="0"/>
          <w:sz w:val="32"/>
          <w:szCs w:val="32"/>
          <w14:textFill>
            <w14:solidFill>
              <w14:schemeClr w14:val="tx1"/>
            </w14:solidFill>
          </w14:textFill>
        </w:rPr>
        <w:t>乡镇（街道）综合执法机构</w:t>
      </w:r>
      <w:r>
        <w:rPr>
          <w:rFonts w:hint="eastAsia" w:ascii="仿宋_GB2312" w:hAnsi="Times New Roman" w:eastAsia="仿宋_GB2312"/>
          <w:b w:val="0"/>
          <w:bCs w:val="0"/>
          <w:color w:val="000000" w:themeColor="text1"/>
          <w:kern w:val="0"/>
          <w:sz w:val="32"/>
          <w:szCs w:val="32"/>
          <w14:textFill>
            <w14:solidFill>
              <w14:schemeClr w14:val="tx1"/>
            </w14:solidFill>
          </w14:textFill>
        </w:rPr>
        <w:t>应加强对餐饮服务单位监督检查和日常监管。</w:t>
      </w:r>
    </w:p>
    <w:p>
      <w:pPr>
        <w:widowControl/>
        <w:spacing w:line="540" w:lineRule="atLeast"/>
        <w:ind w:firstLine="615"/>
        <w:jc w:val="left"/>
        <w:rPr>
          <w:rFonts w:ascii="Helvetica" w:hAnsi="Helvetica" w:cs="Helvetica"/>
          <w:b w:val="0"/>
          <w:bCs w:val="0"/>
          <w:color w:val="000000" w:themeColor="text1"/>
          <w:kern w:val="0"/>
          <w14:textFill>
            <w14:solidFill>
              <w14:schemeClr w14:val="tx1"/>
            </w14:solidFill>
          </w14:textFill>
        </w:rPr>
      </w:pPr>
      <w:r>
        <w:rPr>
          <w:rFonts w:hint="eastAsia" w:ascii="仿宋_GB2312" w:hAnsi="Times New Roman" w:eastAsia="仿宋_GB2312"/>
          <w:b w:val="0"/>
          <w:bCs w:val="0"/>
          <w:color w:val="000000" w:themeColor="text1"/>
          <w:kern w:val="0"/>
          <w:sz w:val="32"/>
          <w:szCs w:val="32"/>
          <w14:textFill>
            <w14:solidFill>
              <w14:schemeClr w14:val="tx1"/>
            </w14:solidFill>
          </w14:textFill>
        </w:rPr>
        <w:t>（一）对辖区内餐饮服务单位油烟净化设施运行情况进行检查、日常巡查，月抽查率不低于</w:t>
      </w:r>
      <w:r>
        <w:rPr>
          <w:rFonts w:ascii="Times New Roman" w:hAnsi="Times New Roman"/>
          <w:b w:val="0"/>
          <w:bCs w:val="0"/>
          <w:color w:val="000000" w:themeColor="text1"/>
          <w:kern w:val="0"/>
          <w:sz w:val="32"/>
          <w:szCs w:val="32"/>
          <w14:textFill>
            <w14:solidFill>
              <w14:schemeClr w14:val="tx1"/>
            </w14:solidFill>
          </w14:textFill>
        </w:rPr>
        <w:t>20%</w:t>
      </w:r>
      <w:r>
        <w:rPr>
          <w:rFonts w:hint="eastAsia" w:ascii="仿宋_GB2312" w:hAnsi="Times New Roman" w:eastAsia="仿宋_GB2312"/>
          <w:b w:val="0"/>
          <w:bCs w:val="0"/>
          <w:color w:val="000000" w:themeColor="text1"/>
          <w:kern w:val="0"/>
          <w:sz w:val="32"/>
          <w:szCs w:val="32"/>
          <w14:textFill>
            <w14:solidFill>
              <w14:schemeClr w14:val="tx1"/>
            </w14:solidFill>
          </w14:textFill>
        </w:rPr>
        <w:t>，同时应建立和完善检查记录档案。</w:t>
      </w:r>
    </w:p>
    <w:p>
      <w:pPr>
        <w:widowControl/>
        <w:spacing w:line="540" w:lineRule="atLeast"/>
        <w:ind w:firstLine="615"/>
        <w:jc w:val="left"/>
        <w:rPr>
          <w:rFonts w:ascii="Helvetica" w:hAnsi="Helvetica" w:cs="Helvetica"/>
          <w:b w:val="0"/>
          <w:bCs w:val="0"/>
          <w:color w:val="000000" w:themeColor="text1"/>
          <w:kern w:val="0"/>
          <w14:textFill>
            <w14:solidFill>
              <w14:schemeClr w14:val="tx1"/>
            </w14:solidFill>
          </w14:textFill>
        </w:rPr>
      </w:pPr>
      <w:r>
        <w:rPr>
          <w:rFonts w:hint="eastAsia" w:ascii="仿宋_GB2312" w:hAnsi="Times New Roman" w:eastAsia="仿宋_GB2312"/>
          <w:b w:val="0"/>
          <w:bCs w:val="0"/>
          <w:color w:val="000000" w:themeColor="text1"/>
          <w:kern w:val="0"/>
          <w:sz w:val="32"/>
          <w:szCs w:val="32"/>
          <w14:textFill>
            <w14:solidFill>
              <w14:schemeClr w14:val="tx1"/>
            </w14:solidFill>
          </w14:textFill>
        </w:rPr>
        <w:t>（二）被检查的餐饮服务单位必须如实反映情况，并提供必要的审批、管理、维护维修台账等资料，不得妨碍和阻拢依法进行的监督检查工作。</w:t>
      </w:r>
    </w:p>
    <w:p>
      <w:pPr>
        <w:widowControl/>
        <w:spacing w:line="540" w:lineRule="atLeast"/>
        <w:ind w:firstLine="615"/>
        <w:jc w:val="left"/>
        <w:rPr>
          <w:rFonts w:ascii="Helvetica" w:hAnsi="Helvetica" w:cs="Helvetica"/>
          <w:color w:val="FF0000"/>
          <w:kern w:val="0"/>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二十五</w:t>
      </w:r>
      <w:r>
        <w:rPr>
          <w:rFonts w:hint="eastAsia" w:ascii="黑体" w:hAnsi="黑体" w:eastAsia="黑体"/>
          <w:color w:val="000000"/>
          <w:kern w:val="0"/>
          <w:sz w:val="32"/>
          <w:szCs w:val="32"/>
        </w:rPr>
        <w:t>条</w:t>
      </w:r>
      <w:r>
        <w:rPr>
          <w:rFonts w:ascii="Times New Roman" w:hAnsi="Times New Roman"/>
          <w:color w:val="000000"/>
          <w:kern w:val="0"/>
          <w:sz w:val="32"/>
          <w:szCs w:val="32"/>
        </w:rPr>
        <w:t xml:space="preserve">  </w:t>
      </w:r>
      <w:r>
        <w:rPr>
          <w:rFonts w:hint="eastAsia" w:ascii="仿宋_GB2312" w:hAnsi="Helvetica" w:eastAsia="仿宋_GB2312" w:cs="Helvetica"/>
          <w:b w:val="0"/>
          <w:bCs w:val="0"/>
          <w:color w:val="000000" w:themeColor="text1"/>
          <w:kern w:val="0"/>
          <w:sz w:val="32"/>
          <w:szCs w:val="32"/>
          <w14:textFill>
            <w14:solidFill>
              <w14:schemeClr w14:val="tx1"/>
            </w14:solidFill>
          </w14:textFill>
        </w:rPr>
        <w:t>乡镇（街道）综合执法机构</w:t>
      </w:r>
      <w:r>
        <w:rPr>
          <w:rFonts w:hint="eastAsia" w:ascii="仿宋_GB2312" w:hAnsi="Times New Roman" w:eastAsia="仿宋_GB2312"/>
          <w:b w:val="0"/>
          <w:bCs w:val="0"/>
          <w:color w:val="000000" w:themeColor="text1"/>
          <w:kern w:val="0"/>
          <w:sz w:val="32"/>
          <w:szCs w:val="32"/>
          <w14:textFill>
            <w14:solidFill>
              <w14:schemeClr w14:val="tx1"/>
            </w14:solidFill>
          </w14:textFill>
        </w:rPr>
        <w:t>应当建立餐饮服务业油烟排放监控信息系统平台，加强对餐饮服务单位油烟排放和设备运行情况的实时监控。</w:t>
      </w:r>
    </w:p>
    <w:p>
      <w:pPr>
        <w:widowControl/>
        <w:spacing w:line="540" w:lineRule="atLeast"/>
        <w:ind w:firstLine="615"/>
        <w:jc w:val="left"/>
        <w:rPr>
          <w:rFonts w:ascii="Helvetica" w:hAnsi="Helvetica" w:cs="Helvetica"/>
          <w:b w:val="0"/>
          <w:bCs w:val="0"/>
          <w:color w:val="000000" w:themeColor="text1"/>
          <w:kern w:val="0"/>
          <w14:textFill>
            <w14:solidFill>
              <w14:schemeClr w14:val="tx1"/>
            </w14:solidFill>
          </w14:textFill>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二十六</w:t>
      </w:r>
      <w:r>
        <w:rPr>
          <w:rFonts w:hint="eastAsia" w:ascii="黑体" w:hAnsi="黑体" w:eastAsia="黑体"/>
          <w:color w:val="000000"/>
          <w:kern w:val="0"/>
          <w:sz w:val="32"/>
          <w:szCs w:val="32"/>
        </w:rPr>
        <w:t>条</w:t>
      </w:r>
      <w:r>
        <w:rPr>
          <w:rFonts w:ascii="Times New Roman" w:hAnsi="Times New Roman"/>
          <w:color w:val="000000"/>
          <w:kern w:val="0"/>
          <w:sz w:val="32"/>
          <w:szCs w:val="32"/>
        </w:rPr>
        <w:t xml:space="preserve">  </w:t>
      </w:r>
      <w:r>
        <w:rPr>
          <w:rFonts w:hint="eastAsia" w:ascii="仿宋_GB2312" w:hAnsi="Times New Roman" w:eastAsia="仿宋_GB2312"/>
          <w:b w:val="0"/>
          <w:bCs w:val="0"/>
          <w:color w:val="000000" w:themeColor="text1"/>
          <w:kern w:val="0"/>
          <w:sz w:val="32"/>
          <w:szCs w:val="32"/>
          <w14:textFill>
            <w14:solidFill>
              <w14:schemeClr w14:val="tx1"/>
            </w14:solidFill>
          </w14:textFill>
        </w:rPr>
        <w:t>大型餐饮服务单位应安装油烟净化设施在线监控装置，并与</w:t>
      </w:r>
      <w:r>
        <w:rPr>
          <w:rFonts w:hint="eastAsia" w:ascii="仿宋_GB2312" w:hAnsi="Helvetica" w:eastAsia="仿宋_GB2312" w:cs="Helvetica"/>
          <w:b w:val="0"/>
          <w:bCs w:val="0"/>
          <w:color w:val="000000" w:themeColor="text1"/>
          <w:kern w:val="0"/>
          <w:sz w:val="32"/>
          <w:szCs w:val="32"/>
          <w14:textFill>
            <w14:solidFill>
              <w14:schemeClr w14:val="tx1"/>
            </w14:solidFill>
          </w14:textFill>
        </w:rPr>
        <w:t>乡镇（街道）综合执法机构</w:t>
      </w:r>
      <w:r>
        <w:rPr>
          <w:rFonts w:hint="eastAsia" w:ascii="仿宋_GB2312" w:hAnsi="Times New Roman" w:eastAsia="仿宋_GB2312"/>
          <w:b w:val="0"/>
          <w:bCs w:val="0"/>
          <w:color w:val="000000" w:themeColor="text1"/>
          <w:kern w:val="0"/>
          <w:sz w:val="32"/>
          <w:szCs w:val="32"/>
          <w14:textFill>
            <w14:solidFill>
              <w14:schemeClr w14:val="tx1"/>
            </w14:solidFill>
          </w14:textFill>
        </w:rPr>
        <w:t>的餐饮服务业油烟排放监控信息系统平台联网；位于环境敏感区的中、小型餐饮服务单位，限期安装自动监控装置。</w:t>
      </w:r>
    </w:p>
    <w:p>
      <w:pPr>
        <w:widowControl/>
        <w:spacing w:line="540" w:lineRule="atLeast"/>
        <w:jc w:val="center"/>
        <w:rPr>
          <w:rFonts w:ascii="Helvetica" w:hAnsi="Helvetica" w:cs="Helvetica"/>
          <w:color w:val="000000"/>
          <w:kern w:val="0"/>
        </w:rPr>
      </w:pPr>
      <w:r>
        <w:rPr>
          <w:rFonts w:hint="eastAsia" w:ascii="黑体" w:hAnsi="黑体" w:eastAsia="黑体"/>
          <w:color w:val="000000"/>
          <w:kern w:val="0"/>
          <w:sz w:val="32"/>
          <w:szCs w:val="32"/>
        </w:rPr>
        <w:t>第</w:t>
      </w:r>
      <w:r>
        <w:rPr>
          <w:rFonts w:hint="eastAsia" w:ascii="黑体" w:hAnsi="黑体" w:eastAsia="黑体"/>
          <w:color w:val="000000"/>
          <w:kern w:val="0"/>
          <w:sz w:val="32"/>
          <w:szCs w:val="32"/>
          <w:lang w:eastAsia="zh-CN"/>
        </w:rPr>
        <w:t>七</w:t>
      </w:r>
      <w:r>
        <w:rPr>
          <w:rFonts w:hint="eastAsia" w:ascii="黑体" w:hAnsi="黑体" w:eastAsia="黑体"/>
          <w:color w:val="000000"/>
          <w:kern w:val="0"/>
          <w:sz w:val="32"/>
          <w:szCs w:val="32"/>
        </w:rPr>
        <w:t>章</w:t>
      </w:r>
      <w:r>
        <w:rPr>
          <w:rFonts w:ascii="Times New Roman" w:hAnsi="Times New Roman"/>
          <w:color w:val="000000"/>
          <w:kern w:val="0"/>
          <w:sz w:val="32"/>
          <w:szCs w:val="32"/>
        </w:rPr>
        <w:t xml:space="preserve">  </w:t>
      </w:r>
      <w:r>
        <w:rPr>
          <w:rFonts w:hint="eastAsia" w:ascii="黑体" w:hAnsi="黑体" w:eastAsia="黑体"/>
          <w:color w:val="000000"/>
          <w:kern w:val="0"/>
          <w:sz w:val="32"/>
          <w:szCs w:val="32"/>
        </w:rPr>
        <w:t>附</w:t>
      </w:r>
      <w:r>
        <w:rPr>
          <w:rFonts w:ascii="Times New Roman" w:hAnsi="Times New Roman"/>
          <w:color w:val="000000"/>
          <w:kern w:val="0"/>
          <w:sz w:val="32"/>
          <w:szCs w:val="32"/>
        </w:rPr>
        <w:t xml:space="preserve">  </w:t>
      </w:r>
      <w:r>
        <w:rPr>
          <w:rFonts w:hint="eastAsia" w:ascii="黑体" w:hAnsi="黑体" w:eastAsia="黑体"/>
          <w:color w:val="000000"/>
          <w:kern w:val="0"/>
          <w:sz w:val="32"/>
          <w:szCs w:val="32"/>
        </w:rPr>
        <w:t>则</w:t>
      </w:r>
    </w:p>
    <w:p>
      <w:pPr>
        <w:widowControl/>
        <w:spacing w:line="540" w:lineRule="atLeast"/>
        <w:ind w:firstLine="615"/>
        <w:jc w:val="left"/>
        <w:rPr>
          <w:rFonts w:ascii="Helvetica" w:hAnsi="Helvetica" w:cs="Helvetica"/>
          <w:color w:val="000000"/>
          <w:kern w:val="0"/>
        </w:rPr>
      </w:pPr>
      <w:r>
        <w:rPr>
          <w:rFonts w:hint="eastAsia" w:ascii="黑体" w:hAnsi="黑体" w:eastAsia="黑体"/>
          <w:b/>
          <w:bCs/>
          <w:color w:val="000000"/>
          <w:kern w:val="0"/>
          <w:sz w:val="32"/>
          <w:szCs w:val="32"/>
        </w:rPr>
        <w:t>第二十</w:t>
      </w:r>
      <w:r>
        <w:rPr>
          <w:rFonts w:hint="eastAsia" w:ascii="黑体" w:hAnsi="黑体" w:eastAsia="黑体"/>
          <w:b/>
          <w:bCs/>
          <w:color w:val="000000"/>
          <w:kern w:val="0"/>
          <w:sz w:val="32"/>
          <w:szCs w:val="32"/>
          <w:lang w:eastAsia="zh-CN"/>
        </w:rPr>
        <w:t>七</w:t>
      </w:r>
      <w:r>
        <w:rPr>
          <w:rFonts w:hint="eastAsia" w:ascii="黑体" w:hAnsi="黑体" w:eastAsia="黑体"/>
          <w:b/>
          <w:bCs/>
          <w:color w:val="000000"/>
          <w:kern w:val="0"/>
          <w:sz w:val="32"/>
          <w:szCs w:val="32"/>
        </w:rPr>
        <w:t>条</w:t>
      </w:r>
      <w:r>
        <w:rPr>
          <w:rFonts w:ascii="Times New Roman" w:hAnsi="Times New Roman"/>
          <w:b/>
          <w:bCs/>
          <w:color w:val="000000"/>
          <w:kern w:val="0"/>
          <w:sz w:val="32"/>
          <w:szCs w:val="32"/>
        </w:rPr>
        <w:t xml:space="preserve">  </w:t>
      </w:r>
      <w:r>
        <w:rPr>
          <w:rFonts w:hint="eastAsia" w:ascii="仿宋_GB2312" w:hAnsi="Times New Roman" w:eastAsia="仿宋_GB2312"/>
          <w:color w:val="000000"/>
          <w:kern w:val="0"/>
          <w:sz w:val="32"/>
          <w:szCs w:val="32"/>
        </w:rPr>
        <w:t>本办法下列用语的含义：</w:t>
      </w:r>
    </w:p>
    <w:p>
      <w:pPr>
        <w:widowControl/>
        <w:spacing w:line="540" w:lineRule="atLeast"/>
        <w:ind w:firstLine="615"/>
        <w:jc w:val="left"/>
        <w:rPr>
          <w:rFonts w:ascii="Helvetica" w:hAnsi="Helvetica" w:cs="Helvetica"/>
          <w:color w:val="000000"/>
          <w:kern w:val="0"/>
        </w:rPr>
      </w:pPr>
      <w:r>
        <w:rPr>
          <w:rFonts w:hint="eastAsia" w:ascii="仿宋_GB2312" w:hAnsi="Times New Roman" w:eastAsia="仿宋_GB2312"/>
          <w:color w:val="000000"/>
          <w:kern w:val="0"/>
          <w:sz w:val="32"/>
          <w:szCs w:val="32"/>
        </w:rPr>
        <w:t>（一）餐饮服务业，指通过即时制作加工、商业销售和服务性劳动等，向消费者提供食品、消费场所和设施的服务。</w:t>
      </w:r>
    </w:p>
    <w:p>
      <w:pPr>
        <w:widowControl/>
        <w:spacing w:line="540" w:lineRule="atLeast"/>
        <w:ind w:firstLine="615"/>
        <w:jc w:val="lef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（二）餐饮服务单位，从事餐饮业经营的单位，主要类型包括餐馆（含酒家、酒楼、酒店、饭店等）、快餐店、小吃店、饮品店、食堂、中央厨房及集体用餐配送单位。</w:t>
      </w:r>
    </w:p>
    <w:p>
      <w:pPr>
        <w:widowControl/>
        <w:spacing w:line="540" w:lineRule="atLeast"/>
        <w:ind w:firstLine="615"/>
        <w:jc w:val="left"/>
        <w:rPr>
          <w:rFonts w:ascii="Helvetica" w:hAnsi="Helvetica" w:cs="Helvetica"/>
          <w:color w:val="000000"/>
          <w:kern w:val="0"/>
        </w:rPr>
      </w:pPr>
      <w:r>
        <w:rPr>
          <w:rFonts w:hint="eastAsia" w:ascii="仿宋_GB2312" w:hAnsi="Times New Roman" w:eastAsia="仿宋_GB2312"/>
          <w:color w:val="000000"/>
          <w:kern w:val="0"/>
          <w:sz w:val="32"/>
          <w:szCs w:val="32"/>
        </w:rPr>
        <w:t>（三）环境敏感目标，即对环境变化易产生反应的对象，指以居住、医疗卫生、文化教育、科研、行政办公等为主要功能的场所。</w:t>
      </w:r>
    </w:p>
    <w:p>
      <w:pPr>
        <w:widowControl/>
        <w:spacing w:line="540" w:lineRule="atLeast"/>
        <w:ind w:firstLine="615"/>
        <w:jc w:val="left"/>
        <w:rPr>
          <w:rFonts w:hint="eastAsia" w:ascii="黑体" w:hAnsi="黑体" w:eastAsia="黑体"/>
          <w:color w:val="000000"/>
          <w:kern w:val="0"/>
          <w:sz w:val="32"/>
          <w:szCs w:val="32"/>
        </w:rPr>
      </w:pPr>
      <w:r>
        <w:rPr>
          <w:rFonts w:hint="eastAsia" w:ascii="仿宋_GB2312" w:hAnsi="Times New Roman" w:eastAsia="仿宋_GB2312"/>
          <w:color w:val="000000"/>
          <w:kern w:val="0"/>
          <w:sz w:val="32"/>
          <w:szCs w:val="32"/>
        </w:rPr>
        <w:t>（四）大、中、小型餐饮服务单位，按照基准灶头数划分，基准灶头数按灶的总发热功率或排气罩面投影总面积折算。每个基准灶头对应的发热功率为</w:t>
      </w:r>
      <w:r>
        <w:rPr>
          <w:rFonts w:ascii="Times New Roman" w:hAnsi="Times New Roman"/>
          <w:color w:val="000000"/>
          <w:kern w:val="0"/>
          <w:sz w:val="32"/>
          <w:szCs w:val="32"/>
        </w:rPr>
        <w:t>1.67×108J/h</w:t>
      </w:r>
      <w:r>
        <w:rPr>
          <w:rFonts w:hint="eastAsia" w:ascii="仿宋_GB2312" w:hAnsi="Times New Roman" w:eastAsia="仿宋_GB2312"/>
          <w:color w:val="000000"/>
          <w:kern w:val="0"/>
          <w:sz w:val="32"/>
          <w:szCs w:val="32"/>
        </w:rPr>
        <w:t>；对应的排气罩灶面投影面积为</w:t>
      </w:r>
      <w:r>
        <w:rPr>
          <w:rFonts w:ascii="Times New Roman" w:hAnsi="Times New Roman"/>
          <w:color w:val="000000"/>
          <w:kern w:val="0"/>
          <w:sz w:val="32"/>
          <w:szCs w:val="32"/>
        </w:rPr>
        <w:t>1.1m</w:t>
      </w:r>
      <w:r>
        <w:rPr>
          <w:rFonts w:ascii="Times New Roman" w:hAnsi="Times New Roman"/>
          <w:color w:val="000000"/>
          <w:kern w:val="0"/>
          <w:sz w:val="32"/>
          <w:szCs w:val="32"/>
          <w:vertAlign w:val="superscript"/>
        </w:rPr>
        <w:t>2</w:t>
      </w:r>
      <w:r>
        <w:rPr>
          <w:rFonts w:hint="eastAsia" w:ascii="仿宋_GB2312" w:hAnsi="Times New Roman" w:eastAsia="仿宋_GB2312"/>
          <w:color w:val="000000"/>
          <w:kern w:val="0"/>
          <w:sz w:val="32"/>
          <w:szCs w:val="32"/>
        </w:rPr>
        <w:t>。有灶头的餐饮服务单位规模划分参数见表</w:t>
      </w:r>
      <w:r>
        <w:rPr>
          <w:rFonts w:ascii="Times New Roman" w:hAnsi="Times New Roman"/>
          <w:color w:val="000000"/>
          <w:kern w:val="0"/>
          <w:sz w:val="32"/>
          <w:szCs w:val="32"/>
        </w:rPr>
        <w:t>1</w:t>
      </w:r>
      <w:r>
        <w:rPr>
          <w:rFonts w:hint="eastAsia" w:ascii="仿宋_GB2312" w:hAnsi="Times New Roman" w:eastAsia="仿宋_GB2312"/>
          <w:color w:val="000000"/>
          <w:kern w:val="0"/>
          <w:sz w:val="32"/>
          <w:szCs w:val="32"/>
        </w:rPr>
        <w:t>。当灶的总发热功率和排气罩灶面投影面积无法获得时，基准灶头数应按经营场所就餐位数量折算。无灶头的餐饮服务单位规模划分参数见表</w:t>
      </w:r>
      <w:r>
        <w:rPr>
          <w:rFonts w:ascii="Times New Roman" w:hAnsi="Times New Roman"/>
          <w:color w:val="000000"/>
          <w:kern w:val="0"/>
          <w:sz w:val="32"/>
          <w:szCs w:val="32"/>
        </w:rPr>
        <w:t>2</w:t>
      </w:r>
      <w:r>
        <w:rPr>
          <w:rFonts w:hint="eastAsia" w:ascii="仿宋_GB2312" w:hAnsi="Times New Roman" w:eastAsia="仿宋_GB2312"/>
          <w:color w:val="000000"/>
          <w:kern w:val="0"/>
          <w:sz w:val="32"/>
          <w:szCs w:val="32"/>
        </w:rPr>
        <w:t>。</w:t>
      </w:r>
      <w:r>
        <w:rPr>
          <w:rFonts w:hint="eastAsia" w:ascii="黑体" w:hAnsi="黑体" w:eastAsia="黑体"/>
          <w:color w:val="000000"/>
          <w:kern w:val="0"/>
          <w:sz w:val="32"/>
          <w:szCs w:val="32"/>
        </w:rPr>
        <w:t xml:space="preserve"> </w:t>
      </w:r>
    </w:p>
    <w:p>
      <w:pPr>
        <w:widowControl/>
        <w:spacing w:line="675" w:lineRule="atLeast"/>
        <w:ind w:firstLine="615"/>
        <w:jc w:val="center"/>
        <w:rPr>
          <w:rFonts w:hint="eastAsia" w:ascii="仿宋_GB2312" w:hAnsi="Times New Roman" w:eastAsia="仿宋_GB2312"/>
          <w:color w:val="000000"/>
          <w:kern w:val="0"/>
          <w:sz w:val="32"/>
          <w:szCs w:val="32"/>
        </w:rPr>
      </w:pPr>
      <w:r>
        <w:rPr>
          <w:rFonts w:hint="eastAsia" w:ascii="黑体" w:hAnsi="黑体" w:eastAsia="黑体"/>
          <w:color w:val="000000"/>
          <w:kern w:val="0"/>
          <w:sz w:val="32"/>
          <w:szCs w:val="32"/>
        </w:rPr>
        <w:t>表</w:t>
      </w:r>
      <w:r>
        <w:rPr>
          <w:rFonts w:ascii="Times New Roman" w:hAnsi="Times New Roman"/>
          <w:color w:val="000000"/>
          <w:kern w:val="0"/>
          <w:sz w:val="32"/>
          <w:szCs w:val="32"/>
        </w:rPr>
        <w:t xml:space="preserve">1  </w:t>
      </w:r>
      <w:r>
        <w:rPr>
          <w:rFonts w:hint="eastAsia" w:ascii="黑体" w:hAnsi="黑体" w:eastAsia="黑体"/>
          <w:color w:val="000000"/>
          <w:kern w:val="0"/>
          <w:sz w:val="32"/>
          <w:szCs w:val="32"/>
        </w:rPr>
        <w:t>餐饮服务单位规模划分（有灶头）</w:t>
      </w:r>
    </w:p>
    <w:tbl>
      <w:tblPr>
        <w:tblStyle w:val="3"/>
        <w:tblW w:w="9705"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0"/>
        <w:gridCol w:w="1545"/>
        <w:gridCol w:w="216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230" w:type="dxa"/>
            <w:tcBorders>
              <w:top w:val="single" w:color="auto" w:sz="4" w:space="0"/>
              <w:left w:val="single" w:color="auto" w:sz="4" w:space="0"/>
              <w:bottom w:val="single" w:color="auto" w:sz="4" w:space="0"/>
              <w:right w:val="single" w:color="auto" w:sz="4" w:space="0"/>
            </w:tcBorders>
          </w:tcPr>
          <w:p>
            <w:pPr>
              <w:widowControl/>
              <w:spacing w:line="540" w:lineRule="atLeast"/>
              <w:jc w:val="left"/>
              <w:rPr>
                <w:rFonts w:ascii="仿宋_GB2312" w:eastAsia="仿宋_GB2312"/>
                <w:color w:val="000000"/>
                <w:kern w:val="0"/>
                <w:sz w:val="24"/>
                <w:szCs w:val="24"/>
              </w:rPr>
            </w:pPr>
            <w:r>
              <w:rPr>
                <w:rFonts w:hint="eastAsia" w:ascii="仿宋_GB2312" w:eastAsia="仿宋_GB2312"/>
                <w:color w:val="000000"/>
                <w:kern w:val="0"/>
                <w:sz w:val="24"/>
                <w:szCs w:val="24"/>
              </w:rPr>
              <w:t>规模</w:t>
            </w:r>
          </w:p>
        </w:tc>
        <w:tc>
          <w:tcPr>
            <w:tcW w:w="1545" w:type="dxa"/>
            <w:tcBorders>
              <w:top w:val="single" w:color="auto" w:sz="4" w:space="0"/>
              <w:left w:val="single" w:color="auto" w:sz="4" w:space="0"/>
              <w:bottom w:val="single" w:color="auto" w:sz="4" w:space="0"/>
              <w:right w:val="single" w:color="auto" w:sz="4" w:space="0"/>
            </w:tcBorders>
          </w:tcPr>
          <w:p>
            <w:pPr>
              <w:widowControl/>
              <w:spacing w:line="540" w:lineRule="atLeast"/>
              <w:jc w:val="left"/>
              <w:rPr>
                <w:rFonts w:ascii="仿宋_GB2312" w:eastAsia="仿宋_GB2312"/>
                <w:color w:val="000000"/>
                <w:kern w:val="0"/>
                <w:sz w:val="24"/>
                <w:szCs w:val="24"/>
              </w:rPr>
            </w:pPr>
            <w:r>
              <w:rPr>
                <w:rFonts w:hint="eastAsia" w:ascii="仿宋_GB2312" w:eastAsia="仿宋_GB2312"/>
                <w:color w:val="000000"/>
                <w:kern w:val="0"/>
                <w:sz w:val="24"/>
                <w:szCs w:val="24"/>
              </w:rPr>
              <w:t>小型</w:t>
            </w:r>
          </w:p>
        </w:tc>
        <w:tc>
          <w:tcPr>
            <w:tcW w:w="2160" w:type="dxa"/>
            <w:tcBorders>
              <w:top w:val="single" w:color="auto" w:sz="4" w:space="0"/>
              <w:left w:val="single" w:color="auto" w:sz="4" w:space="0"/>
              <w:bottom w:val="single" w:color="auto" w:sz="4" w:space="0"/>
              <w:right w:val="single" w:color="auto" w:sz="4" w:space="0"/>
            </w:tcBorders>
          </w:tcPr>
          <w:p>
            <w:pPr>
              <w:widowControl/>
              <w:spacing w:line="540" w:lineRule="atLeast"/>
              <w:jc w:val="left"/>
              <w:rPr>
                <w:rFonts w:ascii="仿宋_GB2312" w:eastAsia="仿宋_GB2312"/>
                <w:color w:val="000000"/>
                <w:kern w:val="0"/>
                <w:sz w:val="24"/>
                <w:szCs w:val="24"/>
              </w:rPr>
            </w:pPr>
            <w:r>
              <w:rPr>
                <w:rFonts w:hint="eastAsia" w:ascii="仿宋_GB2312" w:eastAsia="仿宋_GB2312"/>
                <w:color w:val="000000"/>
                <w:kern w:val="0"/>
                <w:sz w:val="24"/>
                <w:szCs w:val="24"/>
              </w:rPr>
              <w:t>中型</w:t>
            </w:r>
          </w:p>
        </w:tc>
        <w:tc>
          <w:tcPr>
            <w:tcW w:w="1770" w:type="dxa"/>
            <w:tcBorders>
              <w:top w:val="single" w:color="auto" w:sz="4" w:space="0"/>
              <w:left w:val="single" w:color="auto" w:sz="4" w:space="0"/>
              <w:bottom w:val="single" w:color="auto" w:sz="4" w:space="0"/>
              <w:right w:val="single" w:color="auto" w:sz="4" w:space="0"/>
            </w:tcBorders>
          </w:tcPr>
          <w:p>
            <w:pPr>
              <w:widowControl/>
              <w:spacing w:line="540" w:lineRule="atLeast"/>
              <w:jc w:val="left"/>
              <w:rPr>
                <w:rFonts w:ascii="仿宋_GB2312" w:eastAsia="仿宋_GB2312"/>
                <w:color w:val="000000"/>
                <w:kern w:val="0"/>
                <w:sz w:val="24"/>
                <w:szCs w:val="24"/>
              </w:rPr>
            </w:pPr>
            <w:r>
              <w:rPr>
                <w:rFonts w:hint="eastAsia" w:ascii="仿宋_GB2312" w:eastAsia="仿宋_GB2312"/>
                <w:color w:val="000000"/>
                <w:kern w:val="0"/>
                <w:sz w:val="24"/>
                <w:szCs w:val="24"/>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Borders>
              <w:top w:val="single" w:color="auto" w:sz="4" w:space="0"/>
              <w:left w:val="single" w:color="auto" w:sz="4" w:space="0"/>
              <w:bottom w:val="single" w:color="auto" w:sz="4" w:space="0"/>
              <w:right w:val="single" w:color="auto" w:sz="4" w:space="0"/>
            </w:tcBorders>
          </w:tcPr>
          <w:p>
            <w:pPr>
              <w:widowControl/>
              <w:spacing w:line="540" w:lineRule="atLeast"/>
              <w:jc w:val="left"/>
              <w:rPr>
                <w:rFonts w:ascii="仿宋_GB2312" w:eastAsia="仿宋_GB2312"/>
                <w:color w:val="000000"/>
                <w:kern w:val="0"/>
                <w:sz w:val="24"/>
                <w:szCs w:val="24"/>
              </w:rPr>
            </w:pPr>
            <w:r>
              <w:rPr>
                <w:rFonts w:hint="eastAsia" w:ascii="仿宋_GB2312" w:eastAsia="仿宋_GB2312"/>
                <w:kern w:val="0"/>
                <w:sz w:val="24"/>
                <w:szCs w:val="24"/>
              </w:rPr>
              <w:t>基准灶头数</w:t>
            </w:r>
          </w:p>
        </w:tc>
        <w:tc>
          <w:tcPr>
            <w:tcW w:w="1545" w:type="dxa"/>
            <w:tcBorders>
              <w:top w:val="single" w:color="auto" w:sz="4" w:space="0"/>
              <w:left w:val="single" w:color="auto" w:sz="4" w:space="0"/>
              <w:bottom w:val="single" w:color="auto" w:sz="4" w:space="0"/>
              <w:right w:val="single" w:color="auto" w:sz="4" w:space="0"/>
            </w:tcBorders>
          </w:tcPr>
          <w:p>
            <w:pPr>
              <w:widowControl/>
              <w:spacing w:line="540" w:lineRule="atLeast"/>
              <w:jc w:val="left"/>
              <w:rPr>
                <w:rFonts w:ascii="仿宋_GB2312" w:eastAsia="仿宋_GB2312"/>
                <w:color w:val="000000"/>
                <w:kern w:val="0"/>
                <w:sz w:val="24"/>
                <w:szCs w:val="24"/>
              </w:rPr>
            </w:pPr>
            <w:r>
              <w:rPr>
                <w:rFonts w:hint="eastAsia" w:ascii="仿宋_GB2312" w:eastAsia="仿宋_GB2312"/>
                <w:kern w:val="0"/>
                <w:sz w:val="24"/>
                <w:szCs w:val="24"/>
              </w:rPr>
              <w:t>≥1，＜3</w:t>
            </w:r>
          </w:p>
        </w:tc>
        <w:tc>
          <w:tcPr>
            <w:tcW w:w="2160" w:type="dxa"/>
            <w:tcBorders>
              <w:top w:val="single" w:color="auto" w:sz="4" w:space="0"/>
              <w:left w:val="single" w:color="auto" w:sz="4" w:space="0"/>
              <w:bottom w:val="single" w:color="auto" w:sz="4" w:space="0"/>
              <w:right w:val="single" w:color="auto" w:sz="4" w:space="0"/>
            </w:tcBorders>
          </w:tcPr>
          <w:p>
            <w:pPr>
              <w:widowControl/>
              <w:spacing w:line="540" w:lineRule="atLeast"/>
              <w:jc w:val="left"/>
              <w:rPr>
                <w:rFonts w:ascii="仿宋_GB2312" w:eastAsia="仿宋_GB2312"/>
                <w:color w:val="000000"/>
                <w:kern w:val="0"/>
                <w:sz w:val="24"/>
                <w:szCs w:val="24"/>
              </w:rPr>
            </w:pPr>
            <w:r>
              <w:rPr>
                <w:rFonts w:hint="eastAsia" w:ascii="仿宋_GB2312" w:eastAsia="仿宋_GB2312"/>
                <w:kern w:val="0"/>
                <w:sz w:val="24"/>
                <w:szCs w:val="24"/>
              </w:rPr>
              <w:t>≥3，＜6</w:t>
            </w:r>
          </w:p>
        </w:tc>
        <w:tc>
          <w:tcPr>
            <w:tcW w:w="1770" w:type="dxa"/>
            <w:tcBorders>
              <w:top w:val="single" w:color="auto" w:sz="4" w:space="0"/>
              <w:left w:val="single" w:color="auto" w:sz="4" w:space="0"/>
              <w:bottom w:val="single" w:color="auto" w:sz="4" w:space="0"/>
              <w:right w:val="single" w:color="auto" w:sz="4" w:space="0"/>
            </w:tcBorders>
          </w:tcPr>
          <w:p>
            <w:pPr>
              <w:widowControl/>
              <w:spacing w:line="540" w:lineRule="atLeast"/>
              <w:jc w:val="left"/>
              <w:rPr>
                <w:rFonts w:ascii="仿宋_GB2312" w:eastAsia="仿宋_GB2312"/>
                <w:color w:val="000000"/>
                <w:kern w:val="0"/>
                <w:sz w:val="24"/>
                <w:szCs w:val="24"/>
              </w:rPr>
            </w:pPr>
            <w:r>
              <w:rPr>
                <w:rFonts w:hint="eastAsia" w:ascii="仿宋_GB2312" w:eastAsia="仿宋_GB2312"/>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Borders>
              <w:top w:val="single" w:color="auto" w:sz="4" w:space="0"/>
              <w:left w:val="single" w:color="auto" w:sz="4" w:space="0"/>
              <w:bottom w:val="single" w:color="auto" w:sz="4" w:space="0"/>
              <w:right w:val="single" w:color="auto" w:sz="4" w:space="0"/>
            </w:tcBorders>
          </w:tcPr>
          <w:p>
            <w:pPr>
              <w:widowControl/>
              <w:spacing w:line="540" w:lineRule="atLeast"/>
              <w:jc w:val="left"/>
              <w:rPr>
                <w:rFonts w:ascii="仿宋_GB2312" w:eastAsia="仿宋_GB2312"/>
                <w:color w:val="000000"/>
                <w:kern w:val="0"/>
                <w:sz w:val="24"/>
                <w:szCs w:val="24"/>
              </w:rPr>
            </w:pPr>
            <w:r>
              <w:rPr>
                <w:rFonts w:hint="eastAsia" w:ascii="仿宋_GB2312" w:eastAsia="仿宋_GB2312"/>
                <w:kern w:val="0"/>
                <w:sz w:val="24"/>
                <w:szCs w:val="24"/>
              </w:rPr>
              <w:t>对应灶头总功率（10</w:t>
            </w:r>
            <w:r>
              <w:rPr>
                <w:rFonts w:hint="eastAsia" w:ascii="仿宋_GB2312" w:eastAsia="仿宋_GB2312"/>
                <w:kern w:val="0"/>
                <w:sz w:val="24"/>
                <w:szCs w:val="24"/>
                <w:vertAlign w:val="superscript"/>
              </w:rPr>
              <w:t>8</w:t>
            </w:r>
            <w:r>
              <w:rPr>
                <w:rFonts w:hint="eastAsia" w:ascii="仿宋_GB2312" w:eastAsia="仿宋_GB2312"/>
                <w:kern w:val="0"/>
                <w:sz w:val="24"/>
                <w:szCs w:val="24"/>
              </w:rPr>
              <w:t>J/h）</w:t>
            </w:r>
          </w:p>
        </w:tc>
        <w:tc>
          <w:tcPr>
            <w:tcW w:w="1545" w:type="dxa"/>
            <w:tcBorders>
              <w:top w:val="single" w:color="auto" w:sz="4" w:space="0"/>
              <w:left w:val="single" w:color="auto" w:sz="4" w:space="0"/>
              <w:bottom w:val="single" w:color="auto" w:sz="4" w:space="0"/>
              <w:right w:val="single" w:color="auto" w:sz="4" w:space="0"/>
            </w:tcBorders>
          </w:tcPr>
          <w:p>
            <w:pPr>
              <w:widowControl/>
              <w:spacing w:line="540" w:lineRule="atLeast"/>
              <w:jc w:val="left"/>
              <w:rPr>
                <w:rFonts w:ascii="仿宋_GB2312" w:eastAsia="仿宋_GB2312"/>
                <w:color w:val="000000"/>
                <w:kern w:val="0"/>
                <w:sz w:val="24"/>
                <w:szCs w:val="24"/>
              </w:rPr>
            </w:pPr>
            <w:r>
              <w:rPr>
                <w:rFonts w:hint="eastAsia" w:ascii="仿宋_GB2312" w:eastAsia="仿宋_GB2312"/>
                <w:kern w:val="0"/>
                <w:sz w:val="24"/>
                <w:szCs w:val="24"/>
              </w:rPr>
              <w:t>1.67，＜5.00</w:t>
            </w:r>
          </w:p>
        </w:tc>
        <w:tc>
          <w:tcPr>
            <w:tcW w:w="2160" w:type="dxa"/>
            <w:tcBorders>
              <w:top w:val="single" w:color="auto" w:sz="4" w:space="0"/>
              <w:left w:val="single" w:color="auto" w:sz="4" w:space="0"/>
              <w:bottom w:val="single" w:color="auto" w:sz="4" w:space="0"/>
              <w:right w:val="single" w:color="auto" w:sz="4" w:space="0"/>
            </w:tcBorders>
          </w:tcPr>
          <w:p>
            <w:pPr>
              <w:widowControl/>
              <w:spacing w:line="540" w:lineRule="atLeast"/>
              <w:jc w:val="left"/>
              <w:rPr>
                <w:rFonts w:ascii="仿宋_GB2312" w:eastAsia="仿宋_GB2312"/>
                <w:color w:val="000000"/>
                <w:kern w:val="0"/>
                <w:sz w:val="24"/>
                <w:szCs w:val="24"/>
              </w:rPr>
            </w:pPr>
            <w:r>
              <w:rPr>
                <w:rFonts w:hint="eastAsia" w:ascii="仿宋_GB2312" w:eastAsia="仿宋_GB2312"/>
                <w:kern w:val="0"/>
                <w:sz w:val="24"/>
                <w:szCs w:val="24"/>
              </w:rPr>
              <w:t>≥5.00，＜10</w:t>
            </w:r>
          </w:p>
        </w:tc>
        <w:tc>
          <w:tcPr>
            <w:tcW w:w="1770" w:type="dxa"/>
            <w:tcBorders>
              <w:top w:val="single" w:color="auto" w:sz="4" w:space="0"/>
              <w:left w:val="single" w:color="auto" w:sz="4" w:space="0"/>
              <w:bottom w:val="single" w:color="auto" w:sz="4" w:space="0"/>
              <w:right w:val="single" w:color="auto" w:sz="4" w:space="0"/>
            </w:tcBorders>
          </w:tcPr>
          <w:p>
            <w:pPr>
              <w:widowControl/>
              <w:spacing w:line="540" w:lineRule="atLeast"/>
              <w:jc w:val="left"/>
              <w:rPr>
                <w:rFonts w:ascii="仿宋_GB2312" w:eastAsia="仿宋_GB2312"/>
                <w:color w:val="000000"/>
                <w:kern w:val="0"/>
                <w:sz w:val="24"/>
                <w:szCs w:val="24"/>
              </w:rPr>
            </w:pPr>
            <w:r>
              <w:rPr>
                <w:rFonts w:hint="eastAsia" w:ascii="仿宋_GB2312" w:eastAsia="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Borders>
              <w:top w:val="single" w:color="auto" w:sz="4" w:space="0"/>
              <w:left w:val="single" w:color="auto" w:sz="4" w:space="0"/>
              <w:bottom w:val="single" w:color="auto" w:sz="4" w:space="0"/>
              <w:right w:val="single" w:color="auto" w:sz="4" w:space="0"/>
            </w:tcBorders>
          </w:tcPr>
          <w:p>
            <w:pPr>
              <w:widowControl/>
              <w:spacing w:line="540" w:lineRule="atLeast"/>
              <w:jc w:val="left"/>
              <w:rPr>
                <w:rFonts w:ascii="仿宋_GB2312" w:eastAsia="仿宋_GB2312"/>
                <w:color w:val="000000"/>
                <w:kern w:val="0"/>
                <w:sz w:val="24"/>
                <w:szCs w:val="24"/>
              </w:rPr>
            </w:pPr>
            <w:r>
              <w:rPr>
                <w:rFonts w:hint="eastAsia" w:ascii="仿宋_GB2312" w:eastAsia="仿宋_GB2312"/>
                <w:kern w:val="0"/>
                <w:sz w:val="24"/>
                <w:szCs w:val="24"/>
              </w:rPr>
              <w:t>对应排气罩灶面总投影面积（m</w:t>
            </w:r>
            <w:r>
              <w:rPr>
                <w:rFonts w:hint="eastAsia" w:ascii="仿宋_GB2312" w:eastAsia="仿宋_GB2312"/>
                <w:kern w:val="0"/>
                <w:sz w:val="24"/>
                <w:szCs w:val="24"/>
                <w:vertAlign w:val="superscript"/>
              </w:rPr>
              <w:t>2</w:t>
            </w:r>
            <w:r>
              <w:rPr>
                <w:rFonts w:hint="eastAsia" w:ascii="仿宋_GB2312" w:eastAsia="仿宋_GB2312"/>
                <w:kern w:val="0"/>
                <w:sz w:val="24"/>
                <w:szCs w:val="24"/>
              </w:rPr>
              <w:t>）</w:t>
            </w:r>
          </w:p>
        </w:tc>
        <w:tc>
          <w:tcPr>
            <w:tcW w:w="1545" w:type="dxa"/>
            <w:tcBorders>
              <w:top w:val="single" w:color="auto" w:sz="4" w:space="0"/>
              <w:left w:val="single" w:color="auto" w:sz="4" w:space="0"/>
              <w:bottom w:val="single" w:color="auto" w:sz="4" w:space="0"/>
              <w:right w:val="single" w:color="auto" w:sz="4" w:space="0"/>
            </w:tcBorders>
          </w:tcPr>
          <w:p>
            <w:pPr>
              <w:widowControl/>
              <w:spacing w:line="540" w:lineRule="atLeast"/>
              <w:jc w:val="left"/>
              <w:rPr>
                <w:rFonts w:ascii="仿宋_GB2312" w:eastAsia="仿宋_GB2312"/>
                <w:color w:val="000000"/>
                <w:kern w:val="0"/>
                <w:sz w:val="24"/>
                <w:szCs w:val="24"/>
              </w:rPr>
            </w:pPr>
            <w:r>
              <w:rPr>
                <w:rFonts w:hint="eastAsia" w:ascii="仿宋_GB2312" w:eastAsia="仿宋_GB2312"/>
                <w:kern w:val="0"/>
                <w:sz w:val="24"/>
                <w:szCs w:val="24"/>
              </w:rPr>
              <w:t>≥1.1，＜3.3</w:t>
            </w:r>
          </w:p>
        </w:tc>
        <w:tc>
          <w:tcPr>
            <w:tcW w:w="2160" w:type="dxa"/>
            <w:tcBorders>
              <w:top w:val="single" w:color="auto" w:sz="4" w:space="0"/>
              <w:left w:val="single" w:color="auto" w:sz="4" w:space="0"/>
              <w:bottom w:val="single" w:color="auto" w:sz="4" w:space="0"/>
              <w:right w:val="single" w:color="auto" w:sz="4" w:space="0"/>
            </w:tcBorders>
          </w:tcPr>
          <w:p>
            <w:pPr>
              <w:widowControl/>
              <w:spacing w:line="540" w:lineRule="atLeast"/>
              <w:jc w:val="left"/>
              <w:rPr>
                <w:rFonts w:ascii="仿宋_GB2312" w:eastAsia="仿宋_GB2312"/>
                <w:color w:val="000000"/>
                <w:kern w:val="0"/>
                <w:sz w:val="24"/>
                <w:szCs w:val="24"/>
              </w:rPr>
            </w:pPr>
            <w:r>
              <w:rPr>
                <w:rFonts w:hint="eastAsia" w:ascii="仿宋_GB2312" w:eastAsia="仿宋_GB2312"/>
                <w:kern w:val="0"/>
                <w:sz w:val="24"/>
                <w:szCs w:val="24"/>
              </w:rPr>
              <w:t>≥3.3，＜6.6</w:t>
            </w:r>
          </w:p>
        </w:tc>
        <w:tc>
          <w:tcPr>
            <w:tcW w:w="1770" w:type="dxa"/>
            <w:tcBorders>
              <w:top w:val="single" w:color="auto" w:sz="4" w:space="0"/>
              <w:left w:val="single" w:color="auto" w:sz="4" w:space="0"/>
              <w:bottom w:val="single" w:color="auto" w:sz="4" w:space="0"/>
              <w:right w:val="single" w:color="auto" w:sz="4" w:space="0"/>
            </w:tcBorders>
          </w:tcPr>
          <w:p>
            <w:pPr>
              <w:widowControl/>
              <w:spacing w:line="540" w:lineRule="atLeast"/>
              <w:jc w:val="left"/>
              <w:rPr>
                <w:rFonts w:ascii="仿宋_GB2312" w:eastAsia="仿宋_GB2312"/>
                <w:color w:val="000000"/>
                <w:kern w:val="0"/>
                <w:sz w:val="24"/>
                <w:szCs w:val="24"/>
              </w:rPr>
            </w:pPr>
            <w:r>
              <w:rPr>
                <w:rFonts w:hint="eastAsia" w:ascii="仿宋_GB2312" w:eastAsia="仿宋_GB2312"/>
                <w:kern w:val="0"/>
                <w:sz w:val="24"/>
                <w:szCs w:val="24"/>
              </w:rPr>
              <w:t>≥6.6</w:t>
            </w:r>
          </w:p>
        </w:tc>
      </w:tr>
    </w:tbl>
    <w:p>
      <w:pPr>
        <w:widowControl/>
        <w:spacing w:line="675" w:lineRule="atLeast"/>
        <w:ind w:firstLine="615"/>
        <w:jc w:val="center"/>
        <w:rPr>
          <w:rFonts w:hint="eastAsia" w:ascii="Times New Roman" w:hAnsi="Times New Roman"/>
          <w:color w:val="000000"/>
          <w:kern w:val="0"/>
          <w:sz w:val="32"/>
          <w:szCs w:val="32"/>
        </w:rPr>
      </w:pPr>
      <w:r>
        <w:rPr>
          <w:rFonts w:hint="eastAsia" w:ascii="黑体" w:hAnsi="黑体" w:eastAsia="黑体"/>
          <w:color w:val="000000"/>
          <w:kern w:val="0"/>
          <w:sz w:val="32"/>
          <w:szCs w:val="32"/>
        </w:rPr>
        <w:t>表</w:t>
      </w:r>
      <w:r>
        <w:rPr>
          <w:rFonts w:ascii="Times New Roman" w:hAnsi="Times New Roman"/>
          <w:color w:val="000000"/>
          <w:kern w:val="0"/>
          <w:sz w:val="32"/>
          <w:szCs w:val="32"/>
        </w:rPr>
        <w:t xml:space="preserve">2  </w:t>
      </w:r>
      <w:r>
        <w:rPr>
          <w:rFonts w:hint="eastAsia" w:ascii="黑体" w:hAnsi="黑体" w:eastAsia="黑体"/>
          <w:color w:val="000000"/>
          <w:kern w:val="0"/>
          <w:sz w:val="32"/>
          <w:szCs w:val="32"/>
        </w:rPr>
        <w:t>餐饮服务单位规模划分（无灶头）</w:t>
      </w:r>
      <w:r>
        <w:rPr>
          <w:rFonts w:ascii="Times New Roman" w:hAnsi="Times New Roman"/>
          <w:color w:val="000000"/>
          <w:kern w:val="0"/>
          <w:sz w:val="32"/>
          <w:szCs w:val="32"/>
        </w:rPr>
        <w:t xml:space="preserve"> </w:t>
      </w:r>
    </w:p>
    <w:tbl>
      <w:tblPr>
        <w:tblStyle w:val="3"/>
        <w:tblW w:w="9720"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975"/>
        <w:gridCol w:w="1395"/>
        <w:gridCol w:w="1488"/>
        <w:gridCol w:w="1572"/>
        <w:gridCol w:w="174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kern w:val="0"/>
                <w:sz w:val="24"/>
                <w:szCs w:val="24"/>
              </w:rPr>
              <w:t>类别</w:t>
            </w:r>
          </w:p>
        </w:tc>
        <w:tc>
          <w:tcPr>
            <w:tcW w:w="2370" w:type="dxa"/>
            <w:gridSpan w:val="2"/>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kern w:val="0"/>
                <w:sz w:val="24"/>
                <w:szCs w:val="24"/>
              </w:rPr>
              <w:t>小型</w:t>
            </w:r>
          </w:p>
        </w:tc>
        <w:tc>
          <w:tcPr>
            <w:tcW w:w="4800" w:type="dxa"/>
            <w:gridSpan w:val="3"/>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kern w:val="0"/>
                <w:sz w:val="24"/>
                <w:szCs w:val="24"/>
              </w:rPr>
              <w:t>中型</w:t>
            </w:r>
          </w:p>
        </w:tc>
        <w:tc>
          <w:tcPr>
            <w:tcW w:w="990" w:type="dxa"/>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kern w:val="0"/>
                <w:sz w:val="24"/>
                <w:szCs w:val="24"/>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kern w:val="0"/>
                <w:sz w:val="24"/>
                <w:szCs w:val="24"/>
              </w:rPr>
              <w:t>就餐座位（座）</w:t>
            </w:r>
          </w:p>
        </w:tc>
        <w:tc>
          <w:tcPr>
            <w:tcW w:w="975" w:type="dxa"/>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kern w:val="0"/>
                <w:sz w:val="24"/>
                <w:szCs w:val="24"/>
              </w:rPr>
              <w:t>≤40</w:t>
            </w:r>
          </w:p>
        </w:tc>
        <w:tc>
          <w:tcPr>
            <w:tcW w:w="1395" w:type="dxa"/>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kern w:val="0"/>
                <w:sz w:val="24"/>
                <w:szCs w:val="24"/>
              </w:rPr>
              <w:t>＞40，≤75</w:t>
            </w:r>
          </w:p>
        </w:tc>
        <w:tc>
          <w:tcPr>
            <w:tcW w:w="1488" w:type="dxa"/>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kern w:val="0"/>
                <w:sz w:val="24"/>
                <w:szCs w:val="24"/>
              </w:rPr>
              <w:t>＞75，≤150</w:t>
            </w:r>
          </w:p>
        </w:tc>
        <w:tc>
          <w:tcPr>
            <w:tcW w:w="1572" w:type="dxa"/>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kern w:val="0"/>
                <w:sz w:val="24"/>
                <w:szCs w:val="24"/>
              </w:rPr>
              <w:t>＞150，≤200</w:t>
            </w:r>
          </w:p>
        </w:tc>
        <w:tc>
          <w:tcPr>
            <w:tcW w:w="1740" w:type="dxa"/>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kern w:val="0"/>
                <w:sz w:val="24"/>
                <w:szCs w:val="24"/>
              </w:rPr>
            </w:pPr>
            <w:r>
              <w:rPr>
                <w:rFonts w:hint="eastAsia" w:ascii="仿宋_GB2312" w:eastAsia="仿宋_GB2312"/>
                <w:kern w:val="0"/>
                <w:sz w:val="24"/>
                <w:szCs w:val="24"/>
              </w:rPr>
              <w:t>＞200，≤250</w:t>
            </w:r>
          </w:p>
        </w:tc>
        <w:tc>
          <w:tcPr>
            <w:tcW w:w="990" w:type="dxa"/>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kern w:val="0"/>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kern w:val="0"/>
                <w:sz w:val="24"/>
                <w:szCs w:val="24"/>
              </w:rPr>
              <w:t>折合基准灶头数（个）</w:t>
            </w:r>
          </w:p>
        </w:tc>
        <w:tc>
          <w:tcPr>
            <w:tcW w:w="975" w:type="dxa"/>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color w:val="000000"/>
                <w:kern w:val="0"/>
                <w:sz w:val="24"/>
                <w:szCs w:val="24"/>
              </w:rPr>
              <w:t>1</w:t>
            </w:r>
          </w:p>
        </w:tc>
        <w:tc>
          <w:tcPr>
            <w:tcW w:w="1395" w:type="dxa"/>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color w:val="000000"/>
                <w:kern w:val="0"/>
                <w:sz w:val="24"/>
                <w:szCs w:val="24"/>
              </w:rPr>
              <w:t>2</w:t>
            </w:r>
          </w:p>
        </w:tc>
        <w:tc>
          <w:tcPr>
            <w:tcW w:w="1488" w:type="dxa"/>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color w:val="000000"/>
                <w:kern w:val="0"/>
                <w:sz w:val="24"/>
                <w:szCs w:val="24"/>
              </w:rPr>
              <w:t>3</w:t>
            </w:r>
          </w:p>
        </w:tc>
        <w:tc>
          <w:tcPr>
            <w:tcW w:w="1572" w:type="dxa"/>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color w:val="000000"/>
                <w:kern w:val="0"/>
                <w:sz w:val="24"/>
                <w:szCs w:val="24"/>
              </w:rPr>
              <w:t>4</w:t>
            </w:r>
          </w:p>
        </w:tc>
        <w:tc>
          <w:tcPr>
            <w:tcW w:w="1740" w:type="dxa"/>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color w:val="000000"/>
                <w:kern w:val="0"/>
                <w:sz w:val="24"/>
                <w:szCs w:val="24"/>
              </w:rPr>
              <w:t>5</w:t>
            </w:r>
          </w:p>
        </w:tc>
        <w:tc>
          <w:tcPr>
            <w:tcW w:w="990" w:type="dxa"/>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0" w:type="dxa"/>
            <w:gridSpan w:val="7"/>
            <w:tcBorders>
              <w:top w:val="single" w:color="auto" w:sz="4" w:space="0"/>
              <w:left w:val="single" w:color="auto" w:sz="4" w:space="0"/>
              <w:bottom w:val="single" w:color="auto" w:sz="4" w:space="0"/>
              <w:right w:val="single" w:color="auto" w:sz="4" w:space="0"/>
            </w:tcBorders>
          </w:tcPr>
          <w:p>
            <w:pPr>
              <w:widowControl/>
              <w:spacing w:line="240" w:lineRule="atLeast"/>
              <w:jc w:val="left"/>
              <w:rPr>
                <w:rFonts w:ascii="仿宋_GB2312" w:eastAsia="仿宋_GB2312"/>
                <w:color w:val="000000"/>
                <w:kern w:val="0"/>
                <w:sz w:val="24"/>
                <w:szCs w:val="24"/>
              </w:rPr>
            </w:pPr>
            <w:r>
              <w:rPr>
                <w:rFonts w:hint="eastAsia" w:ascii="仿宋_GB2312" w:eastAsia="仿宋_GB2312"/>
                <w:kern w:val="0"/>
                <w:sz w:val="24"/>
                <w:szCs w:val="24"/>
              </w:rPr>
              <w:t>就餐座位&gt;250座的餐饮服务单位每增加50个座位视为增加1个基准灶头数</w:t>
            </w:r>
          </w:p>
        </w:tc>
      </w:tr>
    </w:tbl>
    <w:p>
      <w:pPr>
        <w:widowControl/>
        <w:jc w:val="left"/>
        <w:rPr>
          <w:rFonts w:ascii="Helvetica" w:hAnsi="Helvetica" w:cs="Helvetica"/>
          <w:color w:val="000000"/>
          <w:kern w:val="0"/>
        </w:rPr>
      </w:pPr>
      <w:r>
        <w:rPr>
          <w:rFonts w:ascii="Times New Roman" w:hAnsi="Times New Roman"/>
          <w:color w:val="000000"/>
          <w:kern w:val="0"/>
        </w:rPr>
        <w:t xml:space="preserve"> </w:t>
      </w:r>
    </w:p>
    <w:p>
      <w:pPr>
        <w:widowControl/>
        <w:spacing w:line="555" w:lineRule="atLeast"/>
        <w:ind w:firstLine="615"/>
        <w:jc w:val="left"/>
        <w:rPr>
          <w:rFonts w:ascii="Helvetica" w:hAnsi="Helvetica" w:cs="Helvetica"/>
          <w:color w:val="000000"/>
          <w:kern w:val="0"/>
        </w:rPr>
      </w:pPr>
      <w:r>
        <w:rPr>
          <w:rFonts w:hint="eastAsia" w:ascii="黑体" w:hAnsi="黑体" w:eastAsia="黑体"/>
          <w:color w:val="000000"/>
          <w:kern w:val="0"/>
          <w:sz w:val="32"/>
          <w:szCs w:val="32"/>
        </w:rPr>
        <w:t>第二十</w:t>
      </w:r>
      <w:r>
        <w:rPr>
          <w:rFonts w:hint="eastAsia" w:ascii="黑体" w:hAnsi="黑体" w:eastAsia="黑体"/>
          <w:color w:val="000000"/>
          <w:kern w:val="0"/>
          <w:sz w:val="32"/>
          <w:szCs w:val="32"/>
          <w:lang w:eastAsia="zh-CN"/>
        </w:rPr>
        <w:t>八</w:t>
      </w:r>
      <w:r>
        <w:rPr>
          <w:rFonts w:hint="eastAsia" w:ascii="黑体" w:hAnsi="黑体" w:eastAsia="黑体"/>
          <w:color w:val="000000"/>
          <w:kern w:val="0"/>
          <w:sz w:val="32"/>
          <w:szCs w:val="32"/>
        </w:rPr>
        <w:t>条</w:t>
      </w:r>
      <w:r>
        <w:rPr>
          <w:rFonts w:ascii="Times New Roman" w:hAnsi="Times New Roman"/>
          <w:color w:val="000000"/>
          <w:kern w:val="0"/>
          <w:sz w:val="32"/>
          <w:szCs w:val="32"/>
        </w:rPr>
        <w:t xml:space="preserve">  </w:t>
      </w:r>
      <w:r>
        <w:rPr>
          <w:rFonts w:hint="eastAsia" w:ascii="仿宋_GB2312" w:hAnsi="Times New Roman" w:eastAsia="仿宋_GB2312"/>
          <w:color w:val="000000"/>
          <w:kern w:val="0"/>
          <w:sz w:val="32"/>
          <w:szCs w:val="32"/>
        </w:rPr>
        <w:t>本办法由     负责解释。</w:t>
      </w:r>
    </w:p>
    <w:p>
      <w:pPr>
        <w:widowControl/>
        <w:spacing w:line="555" w:lineRule="atLeast"/>
        <w:ind w:firstLine="615"/>
        <w:jc w:val="left"/>
        <w:rPr>
          <w:rFonts w:hint="eastAsia" w:ascii="仿宋_GB2312" w:eastAsia="仿宋_GB2312"/>
          <w:b/>
          <w:bCs/>
          <w:color w:val="FF0000"/>
          <w:sz w:val="32"/>
          <w:szCs w:val="32"/>
        </w:rPr>
      </w:pPr>
      <w:r>
        <w:rPr>
          <w:rFonts w:hint="eastAsia" w:ascii="黑体" w:hAnsi="黑体" w:eastAsia="黑体"/>
          <w:color w:val="000000"/>
          <w:kern w:val="0"/>
          <w:sz w:val="32"/>
          <w:szCs w:val="32"/>
        </w:rPr>
        <w:t>第二十</w:t>
      </w:r>
      <w:r>
        <w:rPr>
          <w:rFonts w:hint="eastAsia" w:ascii="黑体" w:hAnsi="黑体" w:eastAsia="黑体"/>
          <w:color w:val="000000"/>
          <w:kern w:val="0"/>
          <w:sz w:val="32"/>
          <w:szCs w:val="32"/>
          <w:lang w:eastAsia="zh-CN"/>
        </w:rPr>
        <w:t>九</w:t>
      </w:r>
      <w:r>
        <w:rPr>
          <w:rFonts w:hint="eastAsia" w:ascii="黑体" w:hAnsi="黑体" w:eastAsia="黑体"/>
          <w:color w:val="000000"/>
          <w:kern w:val="0"/>
          <w:sz w:val="32"/>
          <w:szCs w:val="32"/>
        </w:rPr>
        <w:t>条</w:t>
      </w:r>
      <w:r>
        <w:rPr>
          <w:rFonts w:ascii="Times New Roman" w:hAnsi="Times New Roman"/>
          <w:color w:val="000000"/>
          <w:kern w:val="0"/>
          <w:sz w:val="32"/>
          <w:szCs w:val="32"/>
        </w:rPr>
        <w:t xml:space="preserve">  </w:t>
      </w:r>
      <w:r>
        <w:rPr>
          <w:rFonts w:hint="eastAsia" w:ascii="仿宋_GB2312" w:hAnsi="Times New Roman" w:eastAsia="仿宋_GB2312"/>
          <w:color w:val="000000"/>
          <w:kern w:val="0"/>
          <w:sz w:val="32"/>
          <w:szCs w:val="32"/>
        </w:rPr>
        <w:t>本办法自</w:t>
      </w:r>
      <w:r>
        <w:rPr>
          <w:rFonts w:hint="eastAsia" w:ascii="仿宋_GB2312" w:hAnsi="Helvetica" w:eastAsia="仿宋_GB2312" w:cs="Helvetica"/>
          <w:color w:val="000000"/>
          <w:kern w:val="0"/>
          <w:sz w:val="32"/>
          <w:szCs w:val="32"/>
        </w:rPr>
        <w:t xml:space="preserve">    </w:t>
      </w:r>
      <w:r>
        <w:rPr>
          <w:rFonts w:hint="eastAsia" w:ascii="仿宋_GB2312" w:hAnsi="Times New Roman" w:eastAsia="仿宋_GB2312"/>
          <w:color w:val="000000"/>
          <w:kern w:val="0"/>
          <w:sz w:val="32"/>
          <w:szCs w:val="32"/>
        </w:rPr>
        <w:t>年</w:t>
      </w:r>
      <w:r>
        <w:rPr>
          <w:rFonts w:hint="eastAsia" w:ascii="仿宋_GB2312" w:hAnsi="Helvetica" w:eastAsia="仿宋_GB2312" w:cs="Helvetica"/>
          <w:color w:val="000000"/>
          <w:kern w:val="0"/>
          <w:sz w:val="32"/>
          <w:szCs w:val="32"/>
        </w:rPr>
        <w:t xml:space="preserve">   </w:t>
      </w:r>
      <w:r>
        <w:rPr>
          <w:rFonts w:hint="eastAsia" w:ascii="仿宋_GB2312" w:hAnsi="Times New Roman" w:eastAsia="仿宋_GB2312"/>
          <w:color w:val="000000"/>
          <w:kern w:val="0"/>
          <w:sz w:val="32"/>
          <w:szCs w:val="32"/>
        </w:rPr>
        <w:t>月</w:t>
      </w:r>
      <w:r>
        <w:rPr>
          <w:rFonts w:hint="eastAsia" w:ascii="仿宋_GB2312" w:hAnsi="Helvetica" w:eastAsia="仿宋_GB2312" w:cs="Helvetica"/>
          <w:color w:val="000000"/>
          <w:kern w:val="0"/>
          <w:sz w:val="32"/>
          <w:szCs w:val="32"/>
        </w:rPr>
        <w:t xml:space="preserve">   </w:t>
      </w:r>
      <w:r>
        <w:rPr>
          <w:rFonts w:hint="eastAsia" w:ascii="仿宋_GB2312" w:hAnsi="Times New Roman" w:eastAsia="仿宋_GB2312"/>
          <w:color w:val="000000"/>
          <w:kern w:val="0"/>
          <w:sz w:val="32"/>
          <w:szCs w:val="32"/>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E6A"/>
    <w:rsid w:val="002C2E6A"/>
    <w:rsid w:val="00CC3353"/>
    <w:rsid w:val="00ED22B5"/>
    <w:rsid w:val="00F70504"/>
    <w:rsid w:val="3B905052"/>
    <w:rsid w:val="4BB74630"/>
    <w:rsid w:val="590501C7"/>
    <w:rsid w:val="686A6F60"/>
    <w:rsid w:val="771F4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482</Words>
  <Characters>2754</Characters>
  <Lines>22</Lines>
  <Paragraphs>6</Paragraphs>
  <TotalTime>10</TotalTime>
  <ScaleCrop>false</ScaleCrop>
  <LinksUpToDate>false</LinksUpToDate>
  <CharactersWithSpaces>3230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2022-01-12T05:18:00Z</dcterms:created>
  <dc:creator>Administrator</dc:creator>
  <cp:lastModifiedBy>肖丹</cp:lastModifiedBy>
  <dcterms:modified xsi:type="dcterms:W3CDTF">2022-02-14T03:25:04Z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17C5F50C39164FCB933D7DC15C48B8C0</vt:lpwstr>
  </property>
</Properties>
</file>