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年产300000吨新溶剂法纤维素纤维项目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D46A8"/>
    <w:rsid w:val="002A3787"/>
    <w:rsid w:val="003F4207"/>
    <w:rsid w:val="00451268"/>
    <w:rsid w:val="005138CC"/>
    <w:rsid w:val="00BD1B92"/>
    <w:rsid w:val="00C81F28"/>
    <w:rsid w:val="00D87F73"/>
    <w:rsid w:val="00DF70F2"/>
    <w:rsid w:val="00F0739D"/>
    <w:rsid w:val="176B3CA5"/>
    <w:rsid w:val="30AE774B"/>
    <w:rsid w:val="44EB321A"/>
    <w:rsid w:val="55CB32B6"/>
    <w:rsid w:val="69CA492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2</Pages>
  <Words>77</Words>
  <Characters>442</Characters>
  <Lines>3</Lines>
  <Paragraphs>1</Paragraphs>
  <TotalTime>0</TotalTime>
  <ScaleCrop>false</ScaleCrop>
  <LinksUpToDate>false</LinksUpToDate>
  <CharactersWithSpaces>518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okMxy2</cp:lastModifiedBy>
  <dcterms:modified xsi:type="dcterms:W3CDTF">2020-09-15T01:07:37Z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