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957" w:rsidRDefault="00384D77">
      <w:pPr>
        <w:snapToGrid w:val="0"/>
        <w:spacing w:line="420" w:lineRule="auto"/>
        <w:rPr>
          <w:rStyle w:val="NormalCharacter"/>
          <w:rFonts w:ascii="黑体" w:eastAsia="黑体" w:hAnsi="黑体" w:cs="黑体"/>
          <w:sz w:val="32"/>
          <w:szCs w:val="32"/>
        </w:rPr>
      </w:pPr>
      <w:r>
        <w:rPr>
          <w:rStyle w:val="NormalCharacter"/>
          <w:rFonts w:ascii="黑体" w:eastAsia="黑体" w:hAnsi="黑体" w:cs="黑体" w:hint="eastAsia"/>
          <w:sz w:val="32"/>
          <w:szCs w:val="32"/>
        </w:rPr>
        <w:t>附件</w:t>
      </w:r>
    </w:p>
    <w:p w:rsidR="00A10957" w:rsidRDefault="00384D77">
      <w:pPr>
        <w:snapToGrid w:val="0"/>
        <w:spacing w:line="700" w:lineRule="exact"/>
        <w:jc w:val="center"/>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hint="eastAsia"/>
          <w:sz w:val="44"/>
          <w:szCs w:val="44"/>
        </w:rPr>
        <w:t>企事业单位聘用特殊超过法定退休年龄人员</w:t>
      </w:r>
    </w:p>
    <w:p w:rsidR="00A10957" w:rsidRDefault="00384D77">
      <w:pPr>
        <w:snapToGrid w:val="0"/>
        <w:spacing w:line="700" w:lineRule="exact"/>
        <w:jc w:val="center"/>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hint="eastAsia"/>
          <w:sz w:val="44"/>
          <w:szCs w:val="44"/>
        </w:rPr>
        <w:t>参加工伤商业保险试行方案</w:t>
      </w:r>
    </w:p>
    <w:p w:rsidR="00A10957" w:rsidRDefault="00A10957">
      <w:pPr>
        <w:snapToGrid w:val="0"/>
        <w:spacing w:line="700" w:lineRule="exact"/>
        <w:jc w:val="center"/>
        <w:rPr>
          <w:rStyle w:val="NormalCharacter"/>
          <w:rFonts w:ascii="方正小标宋简体" w:eastAsia="方正小标宋简体"/>
          <w:sz w:val="44"/>
          <w:szCs w:val="44"/>
        </w:rPr>
      </w:pPr>
    </w:p>
    <w:p w:rsidR="00A10957" w:rsidRDefault="00384D77">
      <w:pPr>
        <w:spacing w:line="560" w:lineRule="exact"/>
        <w:ind w:firstLineChars="200" w:firstLine="640"/>
        <w:rPr>
          <w:rStyle w:val="NormalCharacter"/>
          <w:rFonts w:ascii="黑体" w:eastAsia="黑体" w:hAnsi="黑体" w:cs="黑体"/>
          <w:bCs/>
          <w:sz w:val="32"/>
        </w:rPr>
      </w:pPr>
      <w:r>
        <w:rPr>
          <w:rStyle w:val="NormalCharacter"/>
          <w:rFonts w:ascii="黑体" w:eastAsia="黑体" w:hAnsi="黑体" w:cs="黑体" w:hint="eastAsia"/>
          <w:bCs/>
          <w:sz w:val="32"/>
        </w:rPr>
        <w:t>一、方案内容</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1</w:t>
      </w:r>
      <w:r>
        <w:rPr>
          <w:rStyle w:val="NormalCharacter"/>
          <w:rFonts w:eastAsia="仿宋_GB2312" w:cs="Times New Roman" w:hint="eastAsia"/>
          <w:sz w:val="32"/>
        </w:rPr>
        <w:t>．</w:t>
      </w:r>
      <w:r>
        <w:rPr>
          <w:rStyle w:val="NormalCharacter"/>
          <w:rFonts w:eastAsia="仿宋_GB2312" w:cs="Times New Roman"/>
          <w:sz w:val="32"/>
        </w:rPr>
        <w:t>参保对象：依据江苏省人社规</w:t>
      </w:r>
      <w:r>
        <w:rPr>
          <w:rStyle w:val="NormalCharacter"/>
          <w:rFonts w:eastAsia="仿宋_GB2312" w:cs="Times New Roman"/>
          <w:sz w:val="32"/>
          <w:szCs w:val="32"/>
        </w:rPr>
        <w:t>〔</w:t>
      </w:r>
      <w:r>
        <w:rPr>
          <w:rStyle w:val="NormalCharacter"/>
          <w:rFonts w:eastAsia="仿宋_GB2312" w:cs="Times New Roman"/>
          <w:sz w:val="32"/>
          <w:szCs w:val="32"/>
        </w:rPr>
        <w:t>2020</w:t>
      </w:r>
      <w:r>
        <w:rPr>
          <w:rStyle w:val="NormalCharacter"/>
          <w:rFonts w:eastAsia="仿宋_GB2312" w:cs="Times New Roman"/>
          <w:sz w:val="32"/>
          <w:szCs w:val="32"/>
        </w:rPr>
        <w:t>〕</w:t>
      </w:r>
      <w:r>
        <w:rPr>
          <w:rStyle w:val="NormalCharacter"/>
          <w:rFonts w:eastAsia="仿宋_GB2312" w:cs="Times New Roman"/>
          <w:sz w:val="32"/>
        </w:rPr>
        <w:t>6</w:t>
      </w:r>
      <w:r>
        <w:rPr>
          <w:rStyle w:val="NormalCharacter"/>
          <w:rFonts w:eastAsia="仿宋_GB2312" w:cs="Times New Roman"/>
          <w:sz w:val="32"/>
        </w:rPr>
        <w:t>号文，不可参加工伤保险的对象，即未享有退休待遇的</w:t>
      </w:r>
      <w:r>
        <w:rPr>
          <w:rStyle w:val="NormalCharacter"/>
          <w:rFonts w:eastAsia="仿宋_GB2312" w:cs="Times New Roman"/>
          <w:sz w:val="32"/>
        </w:rPr>
        <w:t>65</w:t>
      </w:r>
      <w:r>
        <w:rPr>
          <w:rStyle w:val="NormalCharacter"/>
          <w:rFonts w:eastAsia="仿宋_GB2312" w:cs="Times New Roman"/>
          <w:sz w:val="32"/>
        </w:rPr>
        <w:t>岁以上人员和已经享有退休待遇、不超过</w:t>
      </w:r>
      <w:r>
        <w:rPr>
          <w:rStyle w:val="NormalCharacter"/>
          <w:rFonts w:eastAsia="仿宋_GB2312" w:cs="Times New Roman"/>
          <w:sz w:val="32"/>
        </w:rPr>
        <w:t>70</w:t>
      </w:r>
      <w:r>
        <w:rPr>
          <w:rStyle w:val="NormalCharacter"/>
          <w:rFonts w:eastAsia="仿宋_GB2312" w:cs="Times New Roman"/>
          <w:sz w:val="32"/>
        </w:rPr>
        <w:t>周岁人员。</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2</w:t>
      </w:r>
      <w:r>
        <w:rPr>
          <w:rStyle w:val="NormalCharacter"/>
          <w:rFonts w:eastAsia="仿宋_GB2312" w:cs="Times New Roman" w:hint="eastAsia"/>
          <w:sz w:val="32"/>
        </w:rPr>
        <w:t>．</w:t>
      </w:r>
      <w:r>
        <w:rPr>
          <w:rStyle w:val="NormalCharacter"/>
          <w:rFonts w:eastAsia="仿宋_GB2312" w:cs="Times New Roman"/>
          <w:sz w:val="32"/>
        </w:rPr>
        <w:t>参保办法：实名制参保，不限人数。</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3</w:t>
      </w:r>
      <w:r>
        <w:rPr>
          <w:rStyle w:val="NormalCharacter"/>
          <w:rFonts w:eastAsia="仿宋_GB2312" w:cs="Times New Roman" w:hint="eastAsia"/>
          <w:sz w:val="32"/>
        </w:rPr>
        <w:t>．</w:t>
      </w:r>
      <w:r>
        <w:rPr>
          <w:rStyle w:val="NormalCharacter"/>
          <w:rFonts w:eastAsia="仿宋_GB2312" w:cs="Times New Roman"/>
          <w:sz w:val="32"/>
        </w:rPr>
        <w:t>保险期为一年，投保后次日零时至约定终止日二十四时内止。</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4</w:t>
      </w:r>
      <w:r>
        <w:rPr>
          <w:rStyle w:val="NormalCharacter"/>
          <w:rFonts w:eastAsia="仿宋_GB2312" w:cs="Times New Roman" w:hint="eastAsia"/>
          <w:sz w:val="32"/>
        </w:rPr>
        <w:t>．</w:t>
      </w:r>
      <w:r>
        <w:rPr>
          <w:rStyle w:val="NormalCharacter"/>
          <w:rFonts w:eastAsia="仿宋_GB2312" w:cs="Times New Roman"/>
          <w:sz w:val="32"/>
        </w:rPr>
        <w:t>缴费方式：按年缴纳。</w:t>
      </w:r>
    </w:p>
    <w:p w:rsidR="00A10957" w:rsidRDefault="00384D77">
      <w:pPr>
        <w:spacing w:line="560" w:lineRule="exact"/>
        <w:ind w:firstLineChars="200" w:firstLine="640"/>
        <w:rPr>
          <w:rStyle w:val="NormalCharacter"/>
          <w:rFonts w:ascii="黑体" w:eastAsia="黑体" w:hAnsi="黑体" w:cs="黑体"/>
          <w:bCs/>
          <w:sz w:val="32"/>
        </w:rPr>
      </w:pPr>
      <w:r>
        <w:rPr>
          <w:rStyle w:val="NormalCharacter"/>
          <w:rFonts w:ascii="黑体" w:eastAsia="黑体" w:hAnsi="黑体" w:cs="黑体" w:hint="eastAsia"/>
          <w:bCs/>
          <w:sz w:val="32"/>
        </w:rPr>
        <w:t>二、收费及保障标准、办法</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（一）收费标准：每年</w:t>
      </w:r>
      <w:r>
        <w:rPr>
          <w:rStyle w:val="NormalCharacter"/>
          <w:rFonts w:eastAsia="仿宋_GB2312" w:cs="Times New Roman"/>
          <w:sz w:val="32"/>
        </w:rPr>
        <w:t>880</w:t>
      </w:r>
      <w:r>
        <w:rPr>
          <w:rStyle w:val="NormalCharacter"/>
          <w:rFonts w:eastAsia="仿宋_GB2312" w:cs="Times New Roman"/>
          <w:sz w:val="32"/>
        </w:rPr>
        <w:t>元</w:t>
      </w:r>
      <w:r>
        <w:rPr>
          <w:rStyle w:val="NormalCharacter"/>
          <w:rFonts w:eastAsia="仿宋_GB2312" w:cs="Times New Roman"/>
          <w:sz w:val="32"/>
        </w:rPr>
        <w:t>/</w:t>
      </w:r>
      <w:r>
        <w:rPr>
          <w:rStyle w:val="NormalCharacter"/>
          <w:rFonts w:eastAsia="仿宋_GB2312" w:cs="Times New Roman"/>
          <w:sz w:val="32"/>
        </w:rPr>
        <w:t>人</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（二）保障标准：</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1</w:t>
      </w:r>
      <w:r>
        <w:rPr>
          <w:rStyle w:val="NormalCharacter"/>
          <w:rFonts w:eastAsia="仿宋_GB2312" w:cs="Times New Roman"/>
          <w:sz w:val="32"/>
        </w:rPr>
        <w:t>．工伤医疗费用</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按照符合国家工伤诊疗项目目录、工伤保险药品目录、工伤保险住院服务标准支付范围，最高以</w:t>
      </w:r>
      <w:r>
        <w:rPr>
          <w:rStyle w:val="NormalCharacter"/>
          <w:rFonts w:eastAsia="仿宋_GB2312" w:cs="Times New Roman"/>
          <w:sz w:val="32"/>
        </w:rPr>
        <w:t>12</w:t>
      </w:r>
      <w:r>
        <w:rPr>
          <w:rStyle w:val="NormalCharacter"/>
          <w:rFonts w:eastAsia="仿宋_GB2312" w:cs="Times New Roman"/>
          <w:sz w:val="32"/>
        </w:rPr>
        <w:t>万元为限。</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2</w:t>
      </w:r>
      <w:r>
        <w:rPr>
          <w:rStyle w:val="NormalCharacter"/>
          <w:rFonts w:eastAsia="仿宋_GB2312" w:cs="Times New Roman"/>
          <w:sz w:val="32"/>
        </w:rPr>
        <w:t>．工伤住院补贴</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被保险人因工伤住院治疗，按照实际住院天数，给予</w:t>
      </w:r>
      <w:r>
        <w:rPr>
          <w:rStyle w:val="NormalCharacter"/>
          <w:rFonts w:eastAsia="仿宋_GB2312" w:cs="Times New Roman"/>
          <w:sz w:val="32"/>
        </w:rPr>
        <w:t>50</w:t>
      </w:r>
      <w:r>
        <w:rPr>
          <w:rStyle w:val="NormalCharacter"/>
          <w:rFonts w:eastAsia="仿宋_GB2312" w:cs="Times New Roman"/>
          <w:sz w:val="32"/>
        </w:rPr>
        <w:t>元</w:t>
      </w:r>
      <w:r>
        <w:rPr>
          <w:rStyle w:val="NormalCharacter"/>
          <w:rFonts w:eastAsia="仿宋_GB2312" w:cs="Times New Roman"/>
          <w:sz w:val="32"/>
        </w:rPr>
        <w:t>/</w:t>
      </w:r>
      <w:r>
        <w:rPr>
          <w:rStyle w:val="NormalCharacter"/>
          <w:rFonts w:eastAsia="仿宋_GB2312" w:cs="Times New Roman"/>
          <w:sz w:val="32"/>
        </w:rPr>
        <w:t>天住院补贴，每年最高</w:t>
      </w:r>
      <w:r>
        <w:rPr>
          <w:rStyle w:val="NormalCharacter"/>
          <w:rFonts w:eastAsia="仿宋_GB2312" w:cs="Times New Roman"/>
          <w:sz w:val="32"/>
        </w:rPr>
        <w:t>180</w:t>
      </w:r>
      <w:r>
        <w:rPr>
          <w:rStyle w:val="NormalCharacter"/>
          <w:rFonts w:eastAsia="仿宋_GB2312" w:cs="Times New Roman"/>
          <w:sz w:val="32"/>
        </w:rPr>
        <w:t>天为限。</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lastRenderedPageBreak/>
        <w:t>3</w:t>
      </w:r>
      <w:r>
        <w:rPr>
          <w:rStyle w:val="NormalCharacter"/>
          <w:rFonts w:eastAsia="仿宋_GB2312" w:cs="Times New Roman" w:hint="eastAsia"/>
          <w:sz w:val="32"/>
        </w:rPr>
        <w:t>．</w:t>
      </w:r>
      <w:r>
        <w:rPr>
          <w:rStyle w:val="NormalCharacter"/>
          <w:rFonts w:eastAsia="仿宋_GB2312" w:cs="Times New Roman"/>
          <w:sz w:val="32"/>
        </w:rPr>
        <w:t>因工死亡一次性补偿金</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被保险人因工死亡（含视同工伤），一次性补偿金</w:t>
      </w:r>
      <w:r>
        <w:rPr>
          <w:rStyle w:val="NormalCharacter"/>
          <w:rFonts w:eastAsia="仿宋_GB2312" w:cs="Times New Roman"/>
          <w:sz w:val="32"/>
        </w:rPr>
        <w:t>60</w:t>
      </w:r>
      <w:r>
        <w:rPr>
          <w:rStyle w:val="NormalCharacter"/>
          <w:rFonts w:eastAsia="仿宋_GB2312" w:cs="Times New Roman"/>
          <w:sz w:val="32"/>
        </w:rPr>
        <w:t>万元，突发疾病或</w:t>
      </w:r>
      <w:r>
        <w:rPr>
          <w:rStyle w:val="NormalCharacter"/>
          <w:rFonts w:eastAsia="仿宋_GB2312" w:cs="Times New Roman"/>
          <w:sz w:val="32"/>
        </w:rPr>
        <w:t>48</w:t>
      </w:r>
      <w:r>
        <w:rPr>
          <w:rStyle w:val="NormalCharacter"/>
          <w:rFonts w:eastAsia="仿宋_GB2312" w:cs="Times New Roman"/>
          <w:sz w:val="32"/>
        </w:rPr>
        <w:t>小时内抢救死亡</w:t>
      </w:r>
      <w:r>
        <w:rPr>
          <w:rStyle w:val="NormalCharacter"/>
          <w:rFonts w:eastAsia="仿宋_GB2312" w:cs="Times New Roman"/>
          <w:sz w:val="32"/>
        </w:rPr>
        <w:t>20</w:t>
      </w:r>
      <w:r>
        <w:rPr>
          <w:rStyle w:val="NormalCharacter"/>
          <w:rFonts w:eastAsia="仿宋_GB2312" w:cs="Times New Roman"/>
          <w:sz w:val="32"/>
        </w:rPr>
        <w:t>万元。</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4</w:t>
      </w:r>
      <w:r>
        <w:rPr>
          <w:rStyle w:val="NormalCharacter"/>
          <w:rFonts w:eastAsia="仿宋_GB2312" w:cs="Times New Roman" w:hint="eastAsia"/>
          <w:sz w:val="32"/>
        </w:rPr>
        <w:t>．</w:t>
      </w:r>
      <w:r>
        <w:rPr>
          <w:rStyle w:val="NormalCharacter"/>
          <w:rFonts w:eastAsia="仿宋_GB2312" w:cs="Times New Roman"/>
          <w:sz w:val="32"/>
        </w:rPr>
        <w:t>一次性伤残补助金</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在保险期间内，被保险人发生工伤，并自该工伤发生至基本医疗期结束后伤情相对稳定，因该工伤导致身体残疾的，保险人根据常州市劳动能力鉴定委员会评定的伤残等级，给付一次性伤残补助金。</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5</w:t>
      </w:r>
      <w:r>
        <w:rPr>
          <w:rStyle w:val="NormalCharacter"/>
          <w:rFonts w:eastAsia="仿宋_GB2312" w:cs="Times New Roman" w:hint="eastAsia"/>
          <w:sz w:val="32"/>
        </w:rPr>
        <w:t>．</w:t>
      </w:r>
      <w:r>
        <w:rPr>
          <w:rStyle w:val="NormalCharacter"/>
          <w:rFonts w:eastAsia="仿宋_GB2312" w:cs="Times New Roman"/>
          <w:sz w:val="32"/>
        </w:rPr>
        <w:t>已经领取企事业退休待遇的人员，不进行工伤认定和劳动能力鉴定，根据保险合同约定进行赔付。</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6</w:t>
      </w:r>
      <w:r>
        <w:rPr>
          <w:rStyle w:val="NormalCharacter"/>
          <w:rFonts w:eastAsia="仿宋_GB2312" w:cs="Times New Roman" w:hint="eastAsia"/>
          <w:sz w:val="32"/>
        </w:rPr>
        <w:t>．</w:t>
      </w:r>
      <w:r>
        <w:rPr>
          <w:rStyle w:val="NormalCharacter"/>
          <w:rFonts w:eastAsia="仿宋_GB2312" w:cs="Times New Roman"/>
          <w:sz w:val="32"/>
        </w:rPr>
        <w:t>试行工伤</w:t>
      </w:r>
      <w:r>
        <w:rPr>
          <w:rStyle w:val="NormalCharacter"/>
          <w:rFonts w:eastAsia="仿宋_GB2312" w:cs="Times New Roman"/>
          <w:sz w:val="32"/>
        </w:rPr>
        <w:t>商业保险赔付金额低于江苏省工伤保险赔付标准的，由用人单位自行解决。</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（三）保障办法：投保人、被保险人均为单位，劳动者发生工伤后，赔偿金发放到单位。</w:t>
      </w:r>
    </w:p>
    <w:p w:rsidR="00A10957" w:rsidRDefault="00384D77">
      <w:pPr>
        <w:spacing w:line="560" w:lineRule="exact"/>
        <w:ind w:firstLineChars="200" w:firstLine="640"/>
        <w:rPr>
          <w:rStyle w:val="NormalCharacter"/>
          <w:rFonts w:ascii="黑体" w:eastAsia="黑体" w:hAnsi="黑体" w:cs="黑体"/>
          <w:bCs/>
          <w:sz w:val="32"/>
        </w:rPr>
      </w:pPr>
      <w:r>
        <w:rPr>
          <w:rStyle w:val="NormalCharacter"/>
          <w:rFonts w:ascii="黑体" w:eastAsia="黑体" w:hAnsi="黑体" w:cs="黑体" w:hint="eastAsia"/>
          <w:bCs/>
          <w:sz w:val="32"/>
        </w:rPr>
        <w:t>三、相关工作要求</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1</w:t>
      </w:r>
      <w:r>
        <w:rPr>
          <w:rStyle w:val="NormalCharacter"/>
          <w:rFonts w:eastAsia="仿宋_GB2312" w:cs="Times New Roman"/>
          <w:sz w:val="32"/>
        </w:rPr>
        <w:t>．在市</w:t>
      </w:r>
      <w:proofErr w:type="gramStart"/>
      <w:r>
        <w:rPr>
          <w:rStyle w:val="NormalCharacter"/>
          <w:rFonts w:eastAsia="仿宋_GB2312" w:cs="Times New Roman"/>
          <w:sz w:val="32"/>
        </w:rPr>
        <w:t>人社局</w:t>
      </w:r>
      <w:proofErr w:type="gramEnd"/>
      <w:r>
        <w:rPr>
          <w:rStyle w:val="NormalCharacter"/>
          <w:rFonts w:eastAsia="仿宋_GB2312" w:cs="Times New Roman"/>
          <w:sz w:val="32"/>
        </w:rPr>
        <w:t>的监督及指导下开展该项目工作，到部分企业进行走访调研，收集合理化建议；</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2</w:t>
      </w:r>
      <w:r>
        <w:rPr>
          <w:rStyle w:val="NormalCharacter"/>
          <w:rFonts w:eastAsia="仿宋_GB2312" w:cs="Times New Roman"/>
          <w:sz w:val="32"/>
        </w:rPr>
        <w:t>．发挥乡镇多网点优势，选派驻点工作人员，保证承保及后续服务质量；</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3</w:t>
      </w:r>
      <w:r>
        <w:rPr>
          <w:rStyle w:val="NormalCharacter"/>
          <w:rFonts w:eastAsia="仿宋_GB2312" w:cs="Times New Roman"/>
          <w:sz w:val="32"/>
        </w:rPr>
        <w:t>．专人限时理赔服务，开通</w:t>
      </w:r>
      <w:r>
        <w:rPr>
          <w:rStyle w:val="NormalCharacter"/>
          <w:rFonts w:eastAsia="仿宋_GB2312" w:cs="Times New Roman"/>
          <w:sz w:val="32"/>
        </w:rPr>
        <w:t>24</w:t>
      </w:r>
      <w:r>
        <w:rPr>
          <w:rStyle w:val="NormalCharacter"/>
          <w:rFonts w:eastAsia="仿宋_GB2312" w:cs="Times New Roman"/>
          <w:sz w:val="32"/>
        </w:rPr>
        <w:t>小时服务热线，实行定期理赔报告制度，依据生效的法律文书，按照保险合同约定及时给予理赔；</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lastRenderedPageBreak/>
        <w:t>4</w:t>
      </w:r>
      <w:r>
        <w:rPr>
          <w:rStyle w:val="NormalCharacter"/>
          <w:rFonts w:eastAsia="仿宋_GB2312" w:cs="Times New Roman"/>
          <w:sz w:val="32"/>
        </w:rPr>
        <w:t>．成立宣传小组、定期拜访乡镇、园区企业单位，进行意外风险、工伤保险宣传介绍，提高整体承保率；、</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5</w:t>
      </w:r>
      <w:r>
        <w:rPr>
          <w:rStyle w:val="NormalCharacter"/>
          <w:rFonts w:eastAsia="仿宋_GB2312" w:cs="Times New Roman"/>
          <w:sz w:val="32"/>
        </w:rPr>
        <w:t>．强化承保、服务队伍的专业能力，商业保险公司定期对工伤超龄人员保险专职服务人员进行培训以提高素质和技能；</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6</w:t>
      </w:r>
      <w:r>
        <w:rPr>
          <w:rStyle w:val="NormalCharacter"/>
          <w:rFonts w:eastAsia="仿宋_GB2312" w:cs="Times New Roman"/>
          <w:sz w:val="32"/>
        </w:rPr>
        <w:t>．保险合同中必须明确受益人为用人单位；</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7</w:t>
      </w:r>
      <w:r>
        <w:rPr>
          <w:rStyle w:val="NormalCharacter"/>
          <w:rFonts w:eastAsia="仿宋_GB2312" w:cs="Times New Roman"/>
          <w:sz w:val="32"/>
        </w:rPr>
        <w:t>．定期结合中国保监会</w:t>
      </w:r>
      <w:r>
        <w:rPr>
          <w:rStyle w:val="NormalCharacter"/>
          <w:rFonts w:eastAsia="仿宋_GB2312" w:cs="Times New Roman"/>
          <w:sz w:val="32"/>
        </w:rPr>
        <w:t>“</w:t>
      </w:r>
      <w:r>
        <w:rPr>
          <w:rStyle w:val="NormalCharacter"/>
          <w:rFonts w:eastAsia="仿宋_GB2312" w:cs="Times New Roman"/>
          <w:sz w:val="32"/>
        </w:rPr>
        <w:t>两个加强、两个遏制</w:t>
      </w:r>
      <w:r>
        <w:rPr>
          <w:rStyle w:val="NormalCharacter"/>
          <w:rFonts w:eastAsia="仿宋_GB2312" w:cs="Times New Roman"/>
          <w:sz w:val="32"/>
        </w:rPr>
        <w:t>”</w:t>
      </w:r>
      <w:r>
        <w:rPr>
          <w:rStyle w:val="NormalCharacter"/>
          <w:rFonts w:eastAsia="仿宋_GB2312" w:cs="Times New Roman"/>
          <w:sz w:val="32"/>
        </w:rPr>
        <w:t>、</w:t>
      </w:r>
      <w:r>
        <w:rPr>
          <w:rStyle w:val="NormalCharacter"/>
          <w:rFonts w:eastAsia="仿宋_GB2312" w:cs="Times New Roman"/>
          <w:sz w:val="32"/>
        </w:rPr>
        <w:t>“</w:t>
      </w:r>
      <w:r>
        <w:rPr>
          <w:rStyle w:val="NormalCharacter"/>
          <w:rFonts w:eastAsia="仿宋_GB2312" w:cs="Times New Roman"/>
          <w:sz w:val="32"/>
        </w:rPr>
        <w:t>治乱打非</w:t>
      </w:r>
      <w:r>
        <w:rPr>
          <w:rStyle w:val="NormalCharacter"/>
          <w:rFonts w:eastAsia="仿宋_GB2312" w:cs="Times New Roman"/>
          <w:sz w:val="32"/>
        </w:rPr>
        <w:t>”</w:t>
      </w:r>
      <w:r>
        <w:rPr>
          <w:rStyle w:val="NormalCharacter"/>
          <w:rFonts w:eastAsia="仿宋_GB2312" w:cs="Times New Roman"/>
          <w:sz w:val="32"/>
        </w:rPr>
        <w:t>等工作要求，定期检查形成常态化的内控管理制度，杜绝任何违法违规事项；</w:t>
      </w:r>
    </w:p>
    <w:p w:rsidR="00A10957" w:rsidRDefault="00384D77">
      <w:pPr>
        <w:spacing w:line="560" w:lineRule="exact"/>
        <w:ind w:firstLineChars="200" w:firstLine="640"/>
        <w:rPr>
          <w:rStyle w:val="NormalCharacter"/>
          <w:rFonts w:eastAsia="仿宋_GB2312" w:cs="Times New Roman"/>
          <w:sz w:val="32"/>
        </w:rPr>
      </w:pPr>
      <w:r>
        <w:rPr>
          <w:rStyle w:val="NormalCharacter"/>
          <w:rFonts w:eastAsia="仿宋_GB2312" w:cs="Times New Roman"/>
          <w:sz w:val="32"/>
        </w:rPr>
        <w:t>8</w:t>
      </w:r>
      <w:r>
        <w:rPr>
          <w:rStyle w:val="NormalCharacter"/>
          <w:rFonts w:eastAsia="仿宋_GB2312" w:cs="Times New Roman"/>
          <w:sz w:val="32"/>
        </w:rPr>
        <w:t>．参保人</w:t>
      </w:r>
      <w:proofErr w:type="gramStart"/>
      <w:r>
        <w:rPr>
          <w:rStyle w:val="NormalCharacter"/>
          <w:rFonts w:eastAsia="仿宋_GB2312" w:cs="Times New Roman"/>
          <w:sz w:val="32"/>
        </w:rPr>
        <w:t>员信息每</w:t>
      </w:r>
      <w:proofErr w:type="gramEnd"/>
      <w:r>
        <w:rPr>
          <w:rStyle w:val="NormalCharacter"/>
          <w:rFonts w:eastAsia="仿宋_GB2312" w:cs="Times New Roman"/>
          <w:sz w:val="32"/>
        </w:rPr>
        <w:t>月报社保工伤部门备案。</w:t>
      </w:r>
    </w:p>
    <w:p w:rsidR="00A10957" w:rsidRDefault="00384D77">
      <w:pPr>
        <w:spacing w:line="560" w:lineRule="exact"/>
        <w:ind w:firstLineChars="200" w:firstLine="640"/>
        <w:rPr>
          <w:rStyle w:val="NormalCharacter"/>
          <w:rFonts w:ascii="黑体" w:eastAsia="黑体" w:hAnsi="黑体" w:cs="黑体"/>
          <w:bCs/>
          <w:sz w:val="32"/>
        </w:rPr>
      </w:pPr>
      <w:r>
        <w:rPr>
          <w:rStyle w:val="NormalCharacter"/>
          <w:rFonts w:ascii="黑体" w:eastAsia="黑体" w:hAnsi="黑体" w:cs="黑体" w:hint="eastAsia"/>
          <w:bCs/>
          <w:sz w:val="32"/>
        </w:rPr>
        <w:t>四、工伤伤残程度与保险金给付比例表</w:t>
      </w:r>
    </w:p>
    <w:tbl>
      <w:tblPr>
        <w:tblW w:w="6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86"/>
        <w:gridCol w:w="3288"/>
      </w:tblGrid>
      <w:tr w:rsidR="00A10957">
        <w:trPr>
          <w:trHeight w:val="624"/>
          <w:jc w:val="center"/>
        </w:trPr>
        <w:tc>
          <w:tcPr>
            <w:tcW w:w="3286"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b/>
                <w:sz w:val="32"/>
              </w:rPr>
            </w:pPr>
            <w:r>
              <w:rPr>
                <w:rStyle w:val="NormalCharacter"/>
                <w:rFonts w:ascii="仿宋_GB2312" w:eastAsia="仿宋_GB2312" w:hAnsi="Calibri"/>
                <w:b/>
                <w:sz w:val="32"/>
              </w:rPr>
              <w:t>伤残等级</w:t>
            </w:r>
          </w:p>
        </w:tc>
        <w:tc>
          <w:tcPr>
            <w:tcW w:w="3288"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b/>
                <w:sz w:val="32"/>
              </w:rPr>
            </w:pPr>
            <w:r>
              <w:rPr>
                <w:rStyle w:val="NormalCharacter"/>
                <w:rFonts w:ascii="仿宋_GB2312" w:eastAsia="仿宋_GB2312" w:hAnsi="Calibri"/>
                <w:b/>
                <w:sz w:val="32"/>
              </w:rPr>
              <w:t>给付比例</w:t>
            </w:r>
          </w:p>
        </w:tc>
      </w:tr>
      <w:tr w:rsidR="00A10957">
        <w:trPr>
          <w:trHeight w:val="624"/>
          <w:jc w:val="center"/>
        </w:trPr>
        <w:tc>
          <w:tcPr>
            <w:tcW w:w="3286"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proofErr w:type="gramStart"/>
            <w:r>
              <w:rPr>
                <w:rStyle w:val="NormalCharacter"/>
                <w:rFonts w:ascii="仿宋_GB2312" w:eastAsia="仿宋_GB2312" w:hAnsi="Calibri"/>
                <w:sz w:val="32"/>
              </w:rPr>
              <w:t>一</w:t>
            </w:r>
            <w:proofErr w:type="gramEnd"/>
          </w:p>
        </w:tc>
        <w:tc>
          <w:tcPr>
            <w:tcW w:w="3288"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100%</w:t>
            </w:r>
          </w:p>
        </w:tc>
      </w:tr>
      <w:tr w:rsidR="00A10957">
        <w:trPr>
          <w:trHeight w:val="624"/>
          <w:jc w:val="center"/>
        </w:trPr>
        <w:tc>
          <w:tcPr>
            <w:tcW w:w="3286"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二</w:t>
            </w:r>
          </w:p>
        </w:tc>
        <w:tc>
          <w:tcPr>
            <w:tcW w:w="3288"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75%</w:t>
            </w:r>
          </w:p>
        </w:tc>
      </w:tr>
      <w:tr w:rsidR="00A10957">
        <w:trPr>
          <w:trHeight w:val="624"/>
          <w:jc w:val="center"/>
        </w:trPr>
        <w:tc>
          <w:tcPr>
            <w:tcW w:w="3286"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三</w:t>
            </w:r>
          </w:p>
        </w:tc>
        <w:tc>
          <w:tcPr>
            <w:tcW w:w="3288"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60%</w:t>
            </w:r>
          </w:p>
        </w:tc>
      </w:tr>
      <w:tr w:rsidR="00A10957">
        <w:trPr>
          <w:trHeight w:val="624"/>
          <w:jc w:val="center"/>
        </w:trPr>
        <w:tc>
          <w:tcPr>
            <w:tcW w:w="3286"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四</w:t>
            </w:r>
          </w:p>
        </w:tc>
        <w:tc>
          <w:tcPr>
            <w:tcW w:w="3288"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50%</w:t>
            </w:r>
          </w:p>
        </w:tc>
      </w:tr>
      <w:tr w:rsidR="00A10957">
        <w:trPr>
          <w:trHeight w:val="624"/>
          <w:jc w:val="center"/>
        </w:trPr>
        <w:tc>
          <w:tcPr>
            <w:tcW w:w="3286"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五</w:t>
            </w:r>
          </w:p>
        </w:tc>
        <w:tc>
          <w:tcPr>
            <w:tcW w:w="3288"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30%</w:t>
            </w:r>
          </w:p>
        </w:tc>
      </w:tr>
      <w:tr w:rsidR="00A10957">
        <w:trPr>
          <w:trHeight w:val="624"/>
          <w:jc w:val="center"/>
        </w:trPr>
        <w:tc>
          <w:tcPr>
            <w:tcW w:w="3286"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六</w:t>
            </w:r>
          </w:p>
        </w:tc>
        <w:tc>
          <w:tcPr>
            <w:tcW w:w="3288"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20%</w:t>
            </w:r>
          </w:p>
        </w:tc>
      </w:tr>
      <w:tr w:rsidR="00A10957">
        <w:trPr>
          <w:trHeight w:val="624"/>
          <w:jc w:val="center"/>
        </w:trPr>
        <w:tc>
          <w:tcPr>
            <w:tcW w:w="3286"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七</w:t>
            </w:r>
          </w:p>
        </w:tc>
        <w:tc>
          <w:tcPr>
            <w:tcW w:w="3288"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15%</w:t>
            </w:r>
          </w:p>
        </w:tc>
      </w:tr>
      <w:tr w:rsidR="00A10957">
        <w:trPr>
          <w:trHeight w:val="624"/>
          <w:jc w:val="center"/>
        </w:trPr>
        <w:tc>
          <w:tcPr>
            <w:tcW w:w="3286"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八</w:t>
            </w:r>
          </w:p>
        </w:tc>
        <w:tc>
          <w:tcPr>
            <w:tcW w:w="3288"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10%</w:t>
            </w:r>
          </w:p>
        </w:tc>
      </w:tr>
      <w:tr w:rsidR="00A10957">
        <w:trPr>
          <w:trHeight w:val="624"/>
          <w:jc w:val="center"/>
        </w:trPr>
        <w:tc>
          <w:tcPr>
            <w:tcW w:w="3286"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九</w:t>
            </w:r>
          </w:p>
        </w:tc>
        <w:tc>
          <w:tcPr>
            <w:tcW w:w="3288"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5%</w:t>
            </w:r>
          </w:p>
        </w:tc>
      </w:tr>
      <w:tr w:rsidR="00A10957">
        <w:trPr>
          <w:trHeight w:val="624"/>
          <w:jc w:val="center"/>
        </w:trPr>
        <w:tc>
          <w:tcPr>
            <w:tcW w:w="3286"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十</w:t>
            </w:r>
          </w:p>
        </w:tc>
        <w:tc>
          <w:tcPr>
            <w:tcW w:w="3288" w:type="dxa"/>
            <w:tcBorders>
              <w:top w:val="single" w:sz="4" w:space="0" w:color="000000"/>
              <w:left w:val="single" w:sz="4" w:space="0" w:color="000000"/>
              <w:bottom w:val="single" w:sz="4" w:space="0" w:color="000000"/>
              <w:right w:val="single" w:sz="4" w:space="0" w:color="000000"/>
            </w:tcBorders>
          </w:tcPr>
          <w:p w:rsidR="00A10957" w:rsidRDefault="00384D77">
            <w:pPr>
              <w:spacing w:line="500" w:lineRule="exact"/>
              <w:jc w:val="center"/>
              <w:rPr>
                <w:rStyle w:val="NormalCharacter"/>
                <w:rFonts w:ascii="仿宋_GB2312" w:eastAsia="仿宋_GB2312" w:hAnsi="Calibri"/>
                <w:sz w:val="32"/>
              </w:rPr>
            </w:pPr>
            <w:r>
              <w:rPr>
                <w:rStyle w:val="NormalCharacter"/>
                <w:rFonts w:ascii="仿宋_GB2312" w:eastAsia="仿宋_GB2312" w:hAnsi="Calibri"/>
                <w:sz w:val="32"/>
              </w:rPr>
              <w:t>3%</w:t>
            </w:r>
          </w:p>
        </w:tc>
      </w:tr>
    </w:tbl>
    <w:p w:rsidR="00A10957" w:rsidRDefault="00384D77">
      <w:pPr>
        <w:spacing w:line="500" w:lineRule="exact"/>
        <w:ind w:firstLineChars="200" w:firstLine="643"/>
        <w:rPr>
          <w:rStyle w:val="NormalCharacter"/>
          <w:rFonts w:ascii="仿宋_GB2312" w:eastAsia="仿宋_GB2312"/>
          <w:b/>
          <w:sz w:val="32"/>
        </w:rPr>
      </w:pPr>
      <w:r>
        <w:rPr>
          <w:rStyle w:val="NormalCharacter"/>
          <w:rFonts w:ascii="仿宋_GB2312" w:eastAsia="仿宋_GB2312"/>
          <w:b/>
          <w:sz w:val="32"/>
        </w:rPr>
        <w:lastRenderedPageBreak/>
        <w:t>注：本表的伤残等级依据《劳动能力鉴定</w:t>
      </w:r>
      <w:r>
        <w:rPr>
          <w:rStyle w:val="NormalCharacter"/>
          <w:rFonts w:ascii="仿宋_GB2312" w:eastAsia="仿宋_GB2312"/>
          <w:b/>
          <w:sz w:val="32"/>
        </w:rPr>
        <w:t xml:space="preserve"> </w:t>
      </w:r>
      <w:r>
        <w:rPr>
          <w:rStyle w:val="NormalCharacter"/>
          <w:rFonts w:ascii="仿宋_GB2312" w:eastAsia="仿宋_GB2312"/>
          <w:b/>
          <w:sz w:val="32"/>
        </w:rPr>
        <w:t>职工工伤与职业病致残等级》（中华人民共和国国家标准</w:t>
      </w:r>
      <w:r>
        <w:rPr>
          <w:rStyle w:val="NormalCharacter"/>
          <w:rFonts w:ascii="仿宋_GB2312" w:eastAsia="仿宋_GB2312"/>
          <w:b/>
          <w:sz w:val="32"/>
        </w:rPr>
        <w:t>GB/T16180 - 2014</w:t>
      </w:r>
      <w:r>
        <w:rPr>
          <w:rStyle w:val="NormalCharacter"/>
          <w:rFonts w:ascii="仿宋_GB2312" w:eastAsia="仿宋_GB2312"/>
          <w:b/>
          <w:sz w:val="32"/>
        </w:rPr>
        <w:t>）确定。</w:t>
      </w:r>
    </w:p>
    <w:p w:rsidR="00A10957" w:rsidRDefault="00A10957">
      <w:pPr>
        <w:spacing w:line="300" w:lineRule="auto"/>
        <w:ind w:firstLineChars="200" w:firstLine="640"/>
        <w:rPr>
          <w:rFonts w:eastAsia="仿宋_GB2312" w:cs="Times New Roman"/>
          <w:sz w:val="32"/>
        </w:rPr>
      </w:pPr>
    </w:p>
    <w:p w:rsidR="00A10957" w:rsidRDefault="00384D77">
      <w:pPr>
        <w:spacing w:line="300" w:lineRule="auto"/>
        <w:ind w:firstLineChars="200" w:firstLine="640"/>
        <w:rPr>
          <w:rFonts w:eastAsia="仿宋_GB2312" w:cs="Times New Roman"/>
          <w:sz w:val="32"/>
        </w:rPr>
      </w:pPr>
      <w:r>
        <w:rPr>
          <w:rFonts w:eastAsia="仿宋_GB2312" w:cs="Times New Roman"/>
          <w:sz w:val="32"/>
        </w:rPr>
        <w:t xml:space="preserve">                 </w:t>
      </w:r>
      <w:r>
        <w:rPr>
          <w:rFonts w:eastAsia="仿宋_GB2312" w:cs="Times New Roman"/>
          <w:sz w:val="32"/>
        </w:rPr>
        <w:t>紫金财产保险股份有限公司溧阳支公司</w:t>
      </w:r>
    </w:p>
    <w:p w:rsidR="00A10957" w:rsidRDefault="00384D77">
      <w:pPr>
        <w:spacing w:line="300" w:lineRule="auto"/>
        <w:ind w:firstLineChars="200" w:firstLine="640"/>
        <w:rPr>
          <w:rFonts w:eastAsia="仿宋_GB2312" w:cs="Times New Roman"/>
          <w:sz w:val="32"/>
        </w:rPr>
      </w:pPr>
      <w:r>
        <w:rPr>
          <w:rFonts w:eastAsia="仿宋_GB2312" w:cs="Times New Roman"/>
          <w:sz w:val="32"/>
        </w:rPr>
        <w:t xml:space="preserve">             </w:t>
      </w:r>
      <w:r>
        <w:rPr>
          <w:rFonts w:eastAsia="仿宋_GB2312" w:cs="Times New Roman"/>
          <w:sz w:val="32"/>
        </w:rPr>
        <w:t>中国人民财产保险股份有限公司溧阳支公司</w:t>
      </w:r>
    </w:p>
    <w:p w:rsidR="00A10957" w:rsidRDefault="00384D77">
      <w:pPr>
        <w:spacing w:line="300" w:lineRule="auto"/>
        <w:ind w:firstLineChars="200" w:firstLine="640"/>
        <w:rPr>
          <w:rFonts w:eastAsia="仿宋_GB2312" w:cs="Times New Roman"/>
          <w:sz w:val="32"/>
        </w:rPr>
      </w:pPr>
      <w:r>
        <w:rPr>
          <w:rFonts w:eastAsia="仿宋_GB2312" w:cs="Times New Roman"/>
          <w:sz w:val="32"/>
        </w:rPr>
        <w:t xml:space="preserve">             </w:t>
      </w:r>
      <w:r>
        <w:rPr>
          <w:rFonts w:eastAsia="仿宋_GB2312" w:cs="Times New Roman"/>
          <w:sz w:val="32"/>
        </w:rPr>
        <w:t>中国人</w:t>
      </w:r>
      <w:proofErr w:type="gramStart"/>
      <w:r>
        <w:rPr>
          <w:rFonts w:eastAsia="仿宋_GB2312" w:cs="Times New Roman"/>
          <w:sz w:val="32"/>
        </w:rPr>
        <w:t>寿财产</w:t>
      </w:r>
      <w:proofErr w:type="gramEnd"/>
      <w:r>
        <w:rPr>
          <w:rFonts w:eastAsia="仿宋_GB2312" w:cs="Times New Roman"/>
          <w:sz w:val="32"/>
        </w:rPr>
        <w:t>保险股份有限公司溧阳支公司</w:t>
      </w:r>
    </w:p>
    <w:p w:rsidR="00A10957" w:rsidRDefault="00384D77">
      <w:pPr>
        <w:spacing w:line="300" w:lineRule="auto"/>
        <w:ind w:firstLineChars="200" w:firstLine="640"/>
        <w:rPr>
          <w:rFonts w:eastAsia="仿宋_GB2312" w:cs="Times New Roman"/>
          <w:sz w:val="32"/>
        </w:rPr>
      </w:pPr>
      <w:r>
        <w:rPr>
          <w:rStyle w:val="NormalCharacter"/>
          <w:rFonts w:eastAsia="仿宋_GB2312" w:cs="Times New Roman"/>
          <w:sz w:val="32"/>
          <w:szCs w:val="32"/>
        </w:rPr>
        <w:t xml:space="preserve">                                   2021</w:t>
      </w:r>
      <w:r>
        <w:rPr>
          <w:rStyle w:val="NormalCharacter"/>
          <w:rFonts w:eastAsia="仿宋_GB2312" w:cs="Times New Roman"/>
          <w:sz w:val="32"/>
          <w:szCs w:val="32"/>
        </w:rPr>
        <w:t>年</w:t>
      </w:r>
      <w:r>
        <w:rPr>
          <w:rStyle w:val="NormalCharacter"/>
          <w:rFonts w:eastAsia="仿宋_GB2312" w:cs="Times New Roman"/>
          <w:sz w:val="32"/>
          <w:szCs w:val="32"/>
        </w:rPr>
        <w:t>4</w:t>
      </w:r>
      <w:r>
        <w:rPr>
          <w:rStyle w:val="NormalCharacter"/>
          <w:rFonts w:eastAsia="仿宋_GB2312" w:cs="Times New Roman"/>
          <w:sz w:val="32"/>
          <w:szCs w:val="32"/>
        </w:rPr>
        <w:t>月</w:t>
      </w:r>
      <w:r>
        <w:rPr>
          <w:rStyle w:val="NormalCharacter"/>
          <w:rFonts w:eastAsia="仿宋_GB2312" w:cs="Times New Roman"/>
          <w:sz w:val="32"/>
          <w:szCs w:val="32"/>
        </w:rPr>
        <w:t>1</w:t>
      </w:r>
      <w:r>
        <w:rPr>
          <w:rStyle w:val="NormalCharacter"/>
          <w:rFonts w:eastAsia="仿宋_GB2312" w:cs="Times New Roman"/>
          <w:sz w:val="32"/>
          <w:szCs w:val="32"/>
        </w:rPr>
        <w:t>日</w:t>
      </w:r>
      <w:r>
        <w:rPr>
          <w:rStyle w:val="NormalCharacter"/>
          <w:rFonts w:eastAsia="仿宋_GB2312" w:cs="Times New Roman"/>
          <w:sz w:val="32"/>
          <w:szCs w:val="32"/>
        </w:rPr>
        <w:t xml:space="preserve"> </w:t>
      </w:r>
    </w:p>
    <w:p w:rsidR="00A10957" w:rsidRDefault="00A10957">
      <w:pPr>
        <w:snapToGrid w:val="0"/>
        <w:spacing w:line="420" w:lineRule="auto"/>
        <w:jc w:val="center"/>
        <w:rPr>
          <w:rStyle w:val="NormalCharacter"/>
        </w:rPr>
      </w:pPr>
    </w:p>
    <w:p w:rsidR="00A10957" w:rsidRDefault="00A10957">
      <w:pPr>
        <w:snapToGrid w:val="0"/>
        <w:spacing w:line="420" w:lineRule="auto"/>
        <w:jc w:val="center"/>
        <w:rPr>
          <w:rStyle w:val="NormalCharacter"/>
        </w:rPr>
      </w:pPr>
    </w:p>
    <w:p w:rsidR="00A10957" w:rsidRDefault="00A10957">
      <w:pPr>
        <w:snapToGrid w:val="0"/>
        <w:spacing w:line="420" w:lineRule="auto"/>
        <w:jc w:val="center"/>
        <w:rPr>
          <w:rStyle w:val="NormalCharacter"/>
        </w:rPr>
      </w:pPr>
    </w:p>
    <w:p w:rsidR="00A10957" w:rsidRDefault="00A10957">
      <w:pPr>
        <w:snapToGrid w:val="0"/>
        <w:spacing w:line="420" w:lineRule="auto"/>
        <w:jc w:val="center"/>
        <w:rPr>
          <w:rStyle w:val="NormalCharacter"/>
        </w:rPr>
      </w:pPr>
    </w:p>
    <w:p w:rsidR="00A10957" w:rsidRDefault="00A10957">
      <w:pPr>
        <w:snapToGrid w:val="0"/>
        <w:spacing w:line="420" w:lineRule="auto"/>
        <w:jc w:val="center"/>
        <w:rPr>
          <w:rStyle w:val="NormalCharacter"/>
        </w:rPr>
      </w:pPr>
    </w:p>
    <w:p w:rsidR="00A10957" w:rsidRDefault="00A10957">
      <w:pPr>
        <w:snapToGrid w:val="0"/>
        <w:spacing w:line="420" w:lineRule="auto"/>
        <w:jc w:val="center"/>
        <w:rPr>
          <w:rStyle w:val="NormalCharacter"/>
        </w:rPr>
      </w:pPr>
    </w:p>
    <w:p w:rsidR="00A10957" w:rsidRDefault="00A10957">
      <w:pPr>
        <w:snapToGrid w:val="0"/>
        <w:spacing w:line="420" w:lineRule="auto"/>
        <w:jc w:val="center"/>
        <w:rPr>
          <w:rStyle w:val="NormalCharacter"/>
        </w:rPr>
      </w:pPr>
    </w:p>
    <w:p w:rsidR="00A10957" w:rsidRDefault="00A10957">
      <w:pPr>
        <w:snapToGrid w:val="0"/>
        <w:spacing w:line="420" w:lineRule="auto"/>
        <w:rPr>
          <w:rStyle w:val="NormalCharacter"/>
        </w:rPr>
      </w:pPr>
    </w:p>
    <w:p w:rsidR="00A10957" w:rsidRDefault="00A10957">
      <w:pPr>
        <w:snapToGrid w:val="0"/>
        <w:spacing w:line="420" w:lineRule="auto"/>
        <w:rPr>
          <w:rStyle w:val="NormalCharacter"/>
        </w:rPr>
      </w:pPr>
    </w:p>
    <w:p w:rsidR="00A10957" w:rsidRDefault="00A10957">
      <w:pPr>
        <w:snapToGrid w:val="0"/>
        <w:spacing w:line="420" w:lineRule="auto"/>
        <w:rPr>
          <w:rStyle w:val="NormalCharacter"/>
        </w:rPr>
      </w:pPr>
    </w:p>
    <w:p w:rsidR="00A10957" w:rsidRDefault="00A10957">
      <w:pPr>
        <w:snapToGrid w:val="0"/>
        <w:spacing w:line="420" w:lineRule="auto"/>
        <w:rPr>
          <w:rStyle w:val="NormalCharacter"/>
        </w:rPr>
      </w:pPr>
    </w:p>
    <w:sectPr w:rsidR="00A10957" w:rsidSect="00A10957">
      <w:headerReference w:type="default" r:id="rId7"/>
      <w:footerReference w:type="even" r:id="rId8"/>
      <w:footerReference w:type="default" r:id="rId9"/>
      <w:pgSz w:w="11906" w:h="16838"/>
      <w:pgMar w:top="2098" w:right="1531" w:bottom="1984"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D77" w:rsidRDefault="00384D77" w:rsidP="00A10957">
      <w:r>
        <w:separator/>
      </w:r>
    </w:p>
  </w:endnote>
  <w:endnote w:type="continuationSeparator" w:id="0">
    <w:p w:rsidR="00384D77" w:rsidRDefault="00384D77" w:rsidP="00A109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汉鼎简大宋">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57" w:rsidRDefault="00A10957">
    <w:pPr>
      <w:pStyle w:val="a3"/>
      <w:framePr w:wrap="around" w:hAnchor="text" w:xAlign="center"/>
      <w:rPr>
        <w:rStyle w:val="PageNumber"/>
      </w:rPr>
    </w:pPr>
  </w:p>
  <w:p w:rsidR="00A10957" w:rsidRDefault="00384D77">
    <w:pPr>
      <w:pStyle w:val="a3"/>
      <w:rPr>
        <w:rStyle w:val="NormalCharacter"/>
      </w:rPr>
    </w:pPr>
    <w:r>
      <w:rPr>
        <w:rStyle w:val="a5"/>
        <w:rFonts w:ascii="宋体" w:hAnsi="宋体" w:hint="eastAsia"/>
        <w:sz w:val="28"/>
        <w:szCs w:val="28"/>
      </w:rPr>
      <w:t>—</w:t>
    </w:r>
    <w:r>
      <w:rPr>
        <w:rStyle w:val="a5"/>
        <w:rFonts w:ascii="宋体" w:hAnsi="宋体" w:hint="eastAsia"/>
        <w:sz w:val="28"/>
        <w:szCs w:val="28"/>
      </w:rPr>
      <w:t xml:space="preserve"> </w:t>
    </w:r>
    <w:r w:rsidR="00A10957">
      <w:rPr>
        <w:rFonts w:ascii="宋体" w:hAnsi="宋体"/>
        <w:sz w:val="28"/>
        <w:szCs w:val="28"/>
      </w:rPr>
      <w:fldChar w:fldCharType="begin"/>
    </w:r>
    <w:r>
      <w:rPr>
        <w:rStyle w:val="a5"/>
        <w:rFonts w:ascii="宋体" w:hAnsi="宋体"/>
        <w:sz w:val="28"/>
        <w:szCs w:val="28"/>
      </w:rPr>
      <w:instrText xml:space="preserve">PAGE  </w:instrText>
    </w:r>
    <w:r w:rsidR="00A10957">
      <w:rPr>
        <w:rFonts w:ascii="宋体" w:hAnsi="宋体"/>
        <w:sz w:val="28"/>
        <w:szCs w:val="28"/>
      </w:rPr>
      <w:fldChar w:fldCharType="separate"/>
    </w:r>
    <w:r w:rsidR="00274957">
      <w:rPr>
        <w:rStyle w:val="a5"/>
        <w:rFonts w:ascii="宋体" w:hAnsi="宋体"/>
        <w:noProof/>
        <w:sz w:val="28"/>
        <w:szCs w:val="28"/>
      </w:rPr>
      <w:t>2</w:t>
    </w:r>
    <w:r w:rsidR="00A10957">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57" w:rsidRDefault="00384D77">
    <w:pPr>
      <w:pStyle w:val="a3"/>
      <w:framePr w:wrap="around" w:hAnchor="text" w:xAlign="center"/>
      <w:ind w:firstLineChars="2800" w:firstLine="7840"/>
      <w:rPr>
        <w:rStyle w:val="PageNumber"/>
        <w:sz w:val="28"/>
        <w:szCs w:val="28"/>
      </w:rPr>
    </w:pPr>
    <w:r>
      <w:rPr>
        <w:rStyle w:val="a5"/>
        <w:rFonts w:ascii="宋体" w:hAnsi="宋体" w:hint="eastAsia"/>
        <w:sz w:val="28"/>
        <w:szCs w:val="28"/>
      </w:rPr>
      <w:t>—</w:t>
    </w:r>
    <w:r>
      <w:rPr>
        <w:rStyle w:val="a5"/>
        <w:rFonts w:ascii="宋体" w:hAnsi="宋体" w:hint="eastAsia"/>
        <w:sz w:val="28"/>
        <w:szCs w:val="28"/>
      </w:rPr>
      <w:t xml:space="preserve"> </w:t>
    </w:r>
    <w:r w:rsidR="00A10957">
      <w:rPr>
        <w:rFonts w:ascii="宋体" w:hAnsi="宋体"/>
        <w:sz w:val="28"/>
        <w:szCs w:val="28"/>
      </w:rPr>
      <w:fldChar w:fldCharType="begin"/>
    </w:r>
    <w:r>
      <w:rPr>
        <w:rStyle w:val="a5"/>
        <w:rFonts w:ascii="宋体" w:hAnsi="宋体"/>
        <w:sz w:val="28"/>
        <w:szCs w:val="28"/>
      </w:rPr>
      <w:instrText xml:space="preserve">PAGE  </w:instrText>
    </w:r>
    <w:r w:rsidR="00A10957">
      <w:rPr>
        <w:rFonts w:ascii="宋体" w:hAnsi="宋体"/>
        <w:sz w:val="28"/>
        <w:szCs w:val="28"/>
      </w:rPr>
      <w:fldChar w:fldCharType="separate"/>
    </w:r>
    <w:r w:rsidR="00274957">
      <w:rPr>
        <w:rStyle w:val="a5"/>
        <w:rFonts w:ascii="宋体" w:hAnsi="宋体"/>
        <w:noProof/>
        <w:sz w:val="28"/>
        <w:szCs w:val="28"/>
      </w:rPr>
      <w:t>1</w:t>
    </w:r>
    <w:r w:rsidR="00A10957">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p w:rsidR="00A10957" w:rsidRDefault="00A10957">
    <w:pPr>
      <w:pStyle w:val="a3"/>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D77" w:rsidRDefault="00384D77" w:rsidP="00A10957">
      <w:r>
        <w:separator/>
      </w:r>
    </w:p>
  </w:footnote>
  <w:footnote w:type="continuationSeparator" w:id="0">
    <w:p w:rsidR="00384D77" w:rsidRDefault="00384D77" w:rsidP="00A10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57" w:rsidRDefault="00A10957">
    <w:pPr>
      <w:pStyle w:val="a4"/>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isplayHorizontalDrawingGridEvery w:val="0"/>
  <w:displayVerticalDrawingGridEvery w:val="2"/>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A10957"/>
    <w:rsid w:val="00050BD6"/>
    <w:rsid w:val="000822C1"/>
    <w:rsid w:val="000C7BEE"/>
    <w:rsid w:val="000F0C73"/>
    <w:rsid w:val="00127E99"/>
    <w:rsid w:val="00133ECC"/>
    <w:rsid w:val="00134F02"/>
    <w:rsid w:val="001801E2"/>
    <w:rsid w:val="001970B5"/>
    <w:rsid w:val="001B09EE"/>
    <w:rsid w:val="00263A5B"/>
    <w:rsid w:val="00274957"/>
    <w:rsid w:val="002D61B8"/>
    <w:rsid w:val="00311EB2"/>
    <w:rsid w:val="003167B8"/>
    <w:rsid w:val="00346959"/>
    <w:rsid w:val="00384D77"/>
    <w:rsid w:val="00415C3E"/>
    <w:rsid w:val="00427340"/>
    <w:rsid w:val="004F6797"/>
    <w:rsid w:val="00515DF1"/>
    <w:rsid w:val="005E1AD7"/>
    <w:rsid w:val="00626A93"/>
    <w:rsid w:val="00634B9C"/>
    <w:rsid w:val="00687778"/>
    <w:rsid w:val="006D2713"/>
    <w:rsid w:val="007836DA"/>
    <w:rsid w:val="007B74A5"/>
    <w:rsid w:val="007F20B1"/>
    <w:rsid w:val="0081611A"/>
    <w:rsid w:val="00824B4A"/>
    <w:rsid w:val="00882287"/>
    <w:rsid w:val="009F0D9E"/>
    <w:rsid w:val="00A10957"/>
    <w:rsid w:val="00A173B1"/>
    <w:rsid w:val="00A61409"/>
    <w:rsid w:val="00A65F0B"/>
    <w:rsid w:val="00A667A5"/>
    <w:rsid w:val="00A730F0"/>
    <w:rsid w:val="00AA5965"/>
    <w:rsid w:val="00AC4044"/>
    <w:rsid w:val="00AD2FBE"/>
    <w:rsid w:val="00C00766"/>
    <w:rsid w:val="00C253D7"/>
    <w:rsid w:val="00C25ACF"/>
    <w:rsid w:val="00C866C6"/>
    <w:rsid w:val="00C90455"/>
    <w:rsid w:val="00CA0BA6"/>
    <w:rsid w:val="00CE440D"/>
    <w:rsid w:val="00CF2A69"/>
    <w:rsid w:val="00D038BE"/>
    <w:rsid w:val="00D05891"/>
    <w:rsid w:val="00D5737B"/>
    <w:rsid w:val="00E2313B"/>
    <w:rsid w:val="00EA1AB9"/>
    <w:rsid w:val="00EC3BC0"/>
    <w:rsid w:val="00EF37E0"/>
    <w:rsid w:val="00F20890"/>
    <w:rsid w:val="00F31D83"/>
    <w:rsid w:val="00F44E51"/>
    <w:rsid w:val="00F81687"/>
    <w:rsid w:val="00F82808"/>
    <w:rsid w:val="00F830E6"/>
    <w:rsid w:val="00FF0A33"/>
    <w:rsid w:val="03402942"/>
    <w:rsid w:val="0E6A78D0"/>
    <w:rsid w:val="136640E2"/>
    <w:rsid w:val="1564592D"/>
    <w:rsid w:val="1A5604DB"/>
    <w:rsid w:val="303E373E"/>
    <w:rsid w:val="3CBF1356"/>
    <w:rsid w:val="4A7A22FB"/>
    <w:rsid w:val="4BCD067B"/>
    <w:rsid w:val="4C2365F6"/>
    <w:rsid w:val="53792809"/>
    <w:rsid w:val="558E78ED"/>
    <w:rsid w:val="62BF0B8F"/>
    <w:rsid w:val="687502F7"/>
    <w:rsid w:val="73C13219"/>
    <w:rsid w:val="760411C4"/>
    <w:rsid w:val="762E48D2"/>
    <w:rsid w:val="7E7B01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PageNumber"/>
    <w:qFormat/>
    <w:rsid w:val="00A10957"/>
    <w:pPr>
      <w:jc w:val="both"/>
      <w:textAlignment w:val="baseline"/>
    </w:pPr>
    <w:rPr>
      <w:rFonts w:ascii="Times New Roman" w:hAnsi="Times New Roman"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10957"/>
    <w:pPr>
      <w:tabs>
        <w:tab w:val="center" w:pos="4153"/>
        <w:tab w:val="right" w:pos="8306"/>
      </w:tabs>
      <w:snapToGrid w:val="0"/>
      <w:jc w:val="left"/>
    </w:pPr>
    <w:rPr>
      <w:sz w:val="18"/>
      <w:szCs w:val="18"/>
    </w:rPr>
  </w:style>
  <w:style w:type="paragraph" w:styleId="a4">
    <w:name w:val="header"/>
    <w:basedOn w:val="a"/>
    <w:link w:val="Char0"/>
    <w:qFormat/>
    <w:rsid w:val="00A10957"/>
    <w:pPr>
      <w:pBdr>
        <w:bottom w:val="single" w:sz="6" w:space="1" w:color="000000"/>
      </w:pBdr>
      <w:tabs>
        <w:tab w:val="center" w:pos="4153"/>
        <w:tab w:val="right" w:pos="8306"/>
      </w:tabs>
      <w:snapToGrid w:val="0"/>
      <w:jc w:val="center"/>
    </w:pPr>
    <w:rPr>
      <w:sz w:val="18"/>
      <w:szCs w:val="18"/>
    </w:rPr>
  </w:style>
  <w:style w:type="character" w:styleId="a5">
    <w:name w:val="page number"/>
    <w:basedOn w:val="a0"/>
    <w:uiPriority w:val="99"/>
    <w:rsid w:val="00A10957"/>
  </w:style>
  <w:style w:type="character" w:customStyle="1" w:styleId="NormalCharacter">
    <w:name w:val="NormalCharacter"/>
    <w:semiHidden/>
    <w:qFormat/>
    <w:rsid w:val="00A10957"/>
  </w:style>
  <w:style w:type="table" w:customStyle="1" w:styleId="TableNormal">
    <w:name w:val="TableNormal"/>
    <w:semiHidden/>
    <w:qFormat/>
    <w:rsid w:val="00A10957"/>
    <w:tblPr>
      <w:tblCellMar>
        <w:top w:w="0" w:type="dxa"/>
        <w:left w:w="0" w:type="dxa"/>
        <w:bottom w:w="0" w:type="dxa"/>
        <w:right w:w="0" w:type="dxa"/>
      </w:tblCellMar>
    </w:tblPr>
  </w:style>
  <w:style w:type="character" w:customStyle="1" w:styleId="Char0">
    <w:name w:val="页眉 Char"/>
    <w:basedOn w:val="NormalCharacter"/>
    <w:link w:val="a4"/>
    <w:qFormat/>
    <w:rsid w:val="00A10957"/>
    <w:rPr>
      <w:rFonts w:ascii="Calibri" w:hAnsi="Calibri"/>
      <w:kern w:val="2"/>
      <w:sz w:val="18"/>
      <w:szCs w:val="18"/>
    </w:rPr>
  </w:style>
  <w:style w:type="character" w:customStyle="1" w:styleId="Char">
    <w:name w:val="页脚 Char"/>
    <w:basedOn w:val="NormalCharacter"/>
    <w:link w:val="a3"/>
    <w:qFormat/>
    <w:rsid w:val="00A10957"/>
    <w:rPr>
      <w:rFonts w:ascii="Calibri" w:hAnsi="Calibri"/>
      <w:kern w:val="2"/>
      <w:sz w:val="18"/>
      <w:szCs w:val="18"/>
    </w:rPr>
  </w:style>
  <w:style w:type="table" w:customStyle="1" w:styleId="TableGrid">
    <w:name w:val="TableGrid"/>
    <w:basedOn w:val="TableNormal"/>
    <w:qFormat/>
    <w:rsid w:val="00A10957"/>
    <w:tblPr>
      <w:tblCellMar>
        <w:top w:w="0" w:type="dxa"/>
        <w:left w:w="0" w:type="dxa"/>
        <w:bottom w:w="0" w:type="dxa"/>
        <w:right w:w="0" w:type="dxa"/>
      </w:tblCellMar>
    </w:tblPr>
  </w:style>
  <w:style w:type="character" w:customStyle="1" w:styleId="PageNumber">
    <w:name w:val="PageNumber"/>
    <w:basedOn w:val="NormalCharacter"/>
    <w:qFormat/>
    <w:rsid w:val="00A10957"/>
  </w:style>
  <w:style w:type="paragraph" w:customStyle="1" w:styleId="a6">
    <w:name w:val="文头"/>
    <w:basedOn w:val="a"/>
    <w:qFormat/>
    <w:rsid w:val="00A10957"/>
    <w:pPr>
      <w:autoSpaceDE w:val="0"/>
      <w:autoSpaceDN w:val="0"/>
      <w:snapToGrid w:val="0"/>
      <w:spacing w:before="1000" w:after="820" w:line="1300" w:lineRule="atLeast"/>
      <w:ind w:left="340" w:right="340"/>
      <w:jc w:val="distribute"/>
    </w:pPr>
    <w:rPr>
      <w:rFonts w:ascii="汉鼎简大宋" w:eastAsia="汉鼎简大宋"/>
      <w:b/>
      <w:snapToGrid w:val="0"/>
      <w:color w:val="FF0000"/>
      <w:w w:val="70"/>
      <w:kern w:val="0"/>
      <w:sz w:val="1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殷锡坤</cp:lastModifiedBy>
  <cp:revision>2</cp:revision>
  <cp:lastPrinted>2021-04-07T02:37:00Z</cp:lastPrinted>
  <dcterms:created xsi:type="dcterms:W3CDTF">2021-03-30T01:13:00Z</dcterms:created>
  <dcterms:modified xsi:type="dcterms:W3CDTF">2021-04-19T08:17:00Z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