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sz w:val="32"/>
          <w:szCs w:val="32"/>
        </w:rPr>
      </w:pPr>
      <w:r>
        <w:rPr>
          <w:rFonts w:hint="eastAsia" w:ascii="仿宋" w:hAnsi="仿宋" w:eastAsia="仿宋"/>
          <w:sz w:val="32"/>
          <w:szCs w:val="32"/>
        </w:rPr>
        <w:t>附件 2</w:t>
      </w:r>
    </w:p>
    <w:p>
      <w:pPr>
        <w:spacing w:line="560" w:lineRule="exact"/>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溧阳市住房和城乡建设系统</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行政处罚裁量基准编制和适用规则</w:t>
      </w:r>
    </w:p>
    <w:p>
      <w:pPr>
        <w:spacing w:line="560" w:lineRule="exact"/>
      </w:pPr>
    </w:p>
    <w:p>
      <w:pPr>
        <w:spacing w:line="560" w:lineRule="exact"/>
        <w:rPr>
          <w:rFonts w:ascii="仿宋" w:hAnsi="仿宋" w:eastAsia="仿宋"/>
          <w:sz w:val="32"/>
          <w:szCs w:val="32"/>
        </w:rPr>
      </w:pPr>
      <w:r>
        <w:rPr>
          <w:rFonts w:hint="eastAsia" w:ascii="仿宋" w:hAnsi="仿宋" w:eastAsia="仿宋"/>
          <w:b/>
          <w:sz w:val="32"/>
          <w:szCs w:val="32"/>
        </w:rPr>
        <w:t xml:space="preserve">    第一条 </w:t>
      </w:r>
      <w:r>
        <w:rPr>
          <w:rFonts w:hint="eastAsia" w:ascii="仿宋" w:hAnsi="仿宋" w:eastAsia="仿宋"/>
          <w:sz w:val="32"/>
          <w:szCs w:val="32"/>
        </w:rPr>
        <w:t>为进一步规范本市住房和城乡建设系统行政处罚行为，公平、公正、合理地实施行政处罚自由裁量，保障行政处罚相对人的合法权益，依据《中华人民共和国行政处罚法》《中华人民共和国建筑法》《优化营商环境条例》等法律行政法规制定本规则。</w:t>
      </w:r>
    </w:p>
    <w:p>
      <w:pPr>
        <w:spacing w:line="560" w:lineRule="exact"/>
        <w:rPr>
          <w:rFonts w:ascii="仿宋" w:hAnsi="仿宋" w:eastAsia="仿宋"/>
          <w:sz w:val="32"/>
          <w:szCs w:val="32"/>
        </w:rPr>
      </w:pPr>
      <w:r>
        <w:rPr>
          <w:rFonts w:hint="eastAsia" w:ascii="仿宋" w:hAnsi="仿宋" w:eastAsia="仿宋"/>
          <w:b/>
          <w:sz w:val="32"/>
          <w:szCs w:val="32"/>
        </w:rPr>
        <w:t xml:space="preserve">    第二条 </w:t>
      </w:r>
      <w:r>
        <w:rPr>
          <w:rFonts w:hint="eastAsia" w:ascii="仿宋" w:hAnsi="仿宋" w:eastAsia="仿宋"/>
          <w:sz w:val="32"/>
          <w:szCs w:val="32"/>
        </w:rPr>
        <w:t>本规则所称行政处罚裁量基准，是指本市住房和城乡建设主管部门、法律法规授权的组织和依法接受委托的组织（以下统称“执法部门”），在法律、法规和规章（以下统称“法规”）规定的处罚种类和幅度范围内，根据违法行为的事实、性质、情节以及社会危害程度，</w:t>
      </w:r>
      <w:bookmarkStart w:id="0" w:name="_GoBack"/>
      <w:bookmarkEnd w:id="0"/>
      <w:r>
        <w:rPr>
          <w:rFonts w:hint="eastAsia" w:ascii="仿宋" w:hAnsi="仿宋" w:eastAsia="仿宋"/>
          <w:sz w:val="32"/>
          <w:szCs w:val="32"/>
        </w:rPr>
        <w:t>确定是否给予行政处罚以及行政处罚的种类和幅度的不同等次时应当遵守的基本标准。</w:t>
      </w:r>
    </w:p>
    <w:p>
      <w:pPr>
        <w:spacing w:line="560" w:lineRule="exact"/>
        <w:rPr>
          <w:rFonts w:ascii="仿宋" w:hAnsi="仿宋" w:eastAsia="仿宋"/>
          <w:sz w:val="32"/>
          <w:szCs w:val="32"/>
        </w:rPr>
      </w:pPr>
      <w:r>
        <w:rPr>
          <w:rFonts w:hint="eastAsia" w:ascii="仿宋" w:hAnsi="仿宋" w:eastAsia="仿宋"/>
          <w:b/>
          <w:sz w:val="32"/>
          <w:szCs w:val="32"/>
        </w:rPr>
        <w:t xml:space="preserve">    第三条 </w:t>
      </w:r>
      <w:r>
        <w:rPr>
          <w:rFonts w:hint="eastAsia" w:ascii="仿宋" w:hAnsi="仿宋" w:eastAsia="仿宋"/>
          <w:sz w:val="32"/>
          <w:szCs w:val="32"/>
        </w:rPr>
        <w:t>本市住房和城乡建设系统行政处罚裁量基准的编制、行政处罚的实施和行政处罚裁量基准的运用，适用本规则。</w:t>
      </w:r>
    </w:p>
    <w:p>
      <w:pPr>
        <w:spacing w:line="560" w:lineRule="exact"/>
        <w:rPr>
          <w:rFonts w:ascii="仿宋" w:hAnsi="仿宋" w:eastAsia="仿宋"/>
          <w:sz w:val="32"/>
          <w:szCs w:val="32"/>
        </w:rPr>
      </w:pPr>
      <w:r>
        <w:rPr>
          <w:rFonts w:hint="eastAsia" w:ascii="仿宋" w:hAnsi="仿宋" w:eastAsia="仿宋"/>
          <w:b/>
          <w:sz w:val="32"/>
          <w:szCs w:val="32"/>
        </w:rPr>
        <w:t xml:space="preserve">    第四条 </w:t>
      </w:r>
      <w:r>
        <w:rPr>
          <w:rFonts w:hint="eastAsia" w:ascii="仿宋" w:hAnsi="仿宋" w:eastAsia="仿宋"/>
          <w:sz w:val="32"/>
          <w:szCs w:val="32"/>
        </w:rPr>
        <w:t>《溧阳市住房和城乡建设系统行政处罚裁量基准》（以下简称《裁量基准》），以《江苏省住房和城乡建设系统行政权力标准化清单》中编列的行政处罚事项及《江苏省住房和城乡建设系统行政处罚裁量基准》为基础，由溧阳市住房和城乡建设局按照统一的规则、统一的形式组织编制，并实施动态调整。</w:t>
      </w:r>
    </w:p>
    <w:p>
      <w:pPr>
        <w:spacing w:line="560" w:lineRule="exact"/>
        <w:rPr>
          <w:rFonts w:ascii="仿宋" w:hAnsi="仿宋" w:eastAsia="仿宋"/>
          <w:sz w:val="32"/>
          <w:szCs w:val="32"/>
        </w:rPr>
      </w:pPr>
      <w:r>
        <w:rPr>
          <w:rFonts w:hint="eastAsia" w:ascii="仿宋" w:hAnsi="仿宋" w:eastAsia="仿宋"/>
          <w:b/>
          <w:sz w:val="32"/>
          <w:szCs w:val="32"/>
        </w:rPr>
        <w:t xml:space="preserve">    第五条</w:t>
      </w:r>
      <w:r>
        <w:rPr>
          <w:rFonts w:hint="eastAsia" w:ascii="仿宋" w:hAnsi="仿宋" w:eastAsia="仿宋"/>
          <w:sz w:val="32"/>
          <w:szCs w:val="32"/>
        </w:rPr>
        <w:tab/>
      </w:r>
      <w:r>
        <w:rPr>
          <w:rFonts w:hint="eastAsia" w:ascii="仿宋" w:hAnsi="仿宋" w:eastAsia="仿宋"/>
          <w:sz w:val="32"/>
          <w:szCs w:val="32"/>
        </w:rPr>
        <w:t>《裁量基准》的编制遵循以下原则：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（一）依法编制，忠实于法规条文，符合立法目的和原则；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（二）不同层级效力的法规，优先适用层级高的法律规范；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（三）不同时间颁布实施的法规，适用后颁布实施的法规；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（四）合理分档，裁量幅度与情形描述相对应，等次划分合理适当；</w:t>
      </w:r>
      <w:r>
        <w:rPr>
          <w:rFonts w:hint="eastAsia" w:ascii="仿宋" w:hAnsi="仿宋" w:eastAsia="仿宋"/>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（五）简明适用，方便调查取证；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（六）公开发布，动态调整。</w:t>
      </w:r>
    </w:p>
    <w:p>
      <w:pPr>
        <w:spacing w:line="560" w:lineRule="exact"/>
        <w:rPr>
          <w:rFonts w:ascii="仿宋" w:hAnsi="仿宋" w:eastAsia="仿宋"/>
          <w:sz w:val="32"/>
          <w:szCs w:val="32"/>
        </w:rPr>
      </w:pPr>
      <w:r>
        <w:rPr>
          <w:rFonts w:hint="eastAsia" w:ascii="仿宋" w:hAnsi="仿宋" w:eastAsia="仿宋"/>
          <w:b/>
          <w:sz w:val="32"/>
          <w:szCs w:val="32"/>
        </w:rPr>
        <w:t xml:space="preserve">    第六条 </w:t>
      </w:r>
      <w:r>
        <w:rPr>
          <w:rFonts w:hint="eastAsia" w:ascii="仿宋" w:hAnsi="仿宋" w:eastAsia="仿宋"/>
          <w:sz w:val="32"/>
          <w:szCs w:val="32"/>
        </w:rPr>
        <w:t>对违法行为的事实、性质、情节以及社会危害程度的情形描述，主要考虑以下因素：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（一）是否按照要求改正；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（二）是否采取补救措施；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（三）有无违法收入或者违法所得，违法收入或者违法所得的数额大小；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（四）持续时间；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（五）影响程度及产生的后果。</w:t>
      </w:r>
    </w:p>
    <w:p>
      <w:pPr>
        <w:spacing w:line="560" w:lineRule="exact"/>
        <w:rPr>
          <w:rFonts w:ascii="仿宋" w:hAnsi="仿宋" w:eastAsia="仿宋"/>
          <w:sz w:val="32"/>
          <w:szCs w:val="32"/>
        </w:rPr>
      </w:pPr>
      <w:r>
        <w:rPr>
          <w:rFonts w:hint="eastAsia" w:ascii="仿宋" w:hAnsi="仿宋" w:eastAsia="仿宋"/>
          <w:b/>
          <w:sz w:val="32"/>
          <w:szCs w:val="32"/>
        </w:rPr>
        <w:t xml:space="preserve">    第七条</w:t>
      </w:r>
      <w:r>
        <w:rPr>
          <w:rFonts w:hint="eastAsia" w:ascii="仿宋" w:hAnsi="仿宋" w:eastAsia="仿宋"/>
          <w:sz w:val="32"/>
          <w:szCs w:val="32"/>
        </w:rPr>
        <w:t xml:space="preserve"> 《裁量基准》是本市住房和城乡建设系统实施行政处罚自由裁量的基本标准。</w:t>
      </w:r>
    </w:p>
    <w:p>
      <w:pPr>
        <w:spacing w:line="560" w:lineRule="exact"/>
        <w:rPr>
          <w:rFonts w:ascii="仿宋" w:hAnsi="仿宋" w:eastAsia="仿宋"/>
          <w:sz w:val="32"/>
          <w:szCs w:val="32"/>
        </w:rPr>
      </w:pPr>
      <w:r>
        <w:rPr>
          <w:rFonts w:hint="eastAsia" w:ascii="仿宋" w:hAnsi="仿宋" w:eastAsia="仿宋"/>
          <w:b/>
          <w:sz w:val="32"/>
          <w:szCs w:val="32"/>
        </w:rPr>
        <w:t xml:space="preserve">    第八条  </w:t>
      </w:r>
      <w:r>
        <w:rPr>
          <w:rFonts w:hint="eastAsia" w:ascii="仿宋" w:hAnsi="仿宋" w:eastAsia="仿宋"/>
          <w:sz w:val="32"/>
          <w:szCs w:val="32"/>
        </w:rPr>
        <w:t>行政处罚裁量基准的适用遵循以下原则：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（一）过罚相当。以事实为依据，以法律为准绳，所适用的裁量幅度应当与违法行为的情形相当；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（二）公平公正。情节基本相同或者相近的违法行为，应当</w:t>
      </w:r>
      <w:r>
        <w:rPr>
          <w:rFonts w:hint="eastAsia" w:ascii="仿宋" w:hAnsi="仿宋" w:eastAsia="仿宋"/>
          <w:sz w:val="32"/>
          <w:szCs w:val="32"/>
        </w:rPr>
        <w:t>适用相同或者相近的裁量幅度；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（三）程序正当。遵循法定程序，充分听取当事人的意见，依法保障当事人的知情权、救济权；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（四）综合裁量。对违法行为的主观、客观原因和具体情节进行全面分析，综合判断需要适用的裁量幅度；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（五）有利于当事人。可以适用的法规存在冲突时，除法规有特别规定的以外，按照有利于当事人的原则适用法规；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（六）处罚与教育相结合。既要实施行政处罚，纠正违法行为，又要教育当事人自觉守法。</w:t>
      </w:r>
    </w:p>
    <w:p>
      <w:pPr>
        <w:spacing w:line="560" w:lineRule="exact"/>
        <w:rPr>
          <w:rFonts w:ascii="仿宋" w:hAnsi="仿宋" w:eastAsia="仿宋"/>
          <w:sz w:val="32"/>
          <w:szCs w:val="32"/>
        </w:rPr>
      </w:pPr>
      <w:r>
        <w:rPr>
          <w:rFonts w:hint="eastAsia" w:ascii="仿宋" w:hAnsi="仿宋" w:eastAsia="仿宋"/>
          <w:b/>
          <w:sz w:val="32"/>
          <w:szCs w:val="32"/>
        </w:rPr>
        <w:t xml:space="preserve">    第九条</w:t>
      </w:r>
      <w:r>
        <w:rPr>
          <w:rFonts w:hint="eastAsia" w:ascii="仿宋" w:hAnsi="仿宋" w:eastAsia="仿宋"/>
          <w:sz w:val="32"/>
          <w:szCs w:val="32"/>
        </w:rPr>
        <w:tab/>
      </w:r>
      <w:r>
        <w:rPr>
          <w:rFonts w:hint="eastAsia" w:ascii="仿宋" w:hAnsi="仿宋" w:eastAsia="仿宋"/>
          <w:sz w:val="32"/>
          <w:szCs w:val="32"/>
        </w:rPr>
        <w:t xml:space="preserve"> 同一违法事实同时违反多个法规构成多个违法行为的，先确定每个违法行为适用的裁量幅度，再按照不同的处罚种类合并适用、不同的处罚金额相加的原则确定裁量幅度。</w:t>
      </w:r>
    </w:p>
    <w:p>
      <w:pPr>
        <w:spacing w:line="560" w:lineRule="exact"/>
        <w:rPr>
          <w:rFonts w:ascii="仿宋" w:hAnsi="仿宋" w:eastAsia="仿宋"/>
          <w:sz w:val="32"/>
          <w:szCs w:val="32"/>
        </w:rPr>
      </w:pPr>
      <w:r>
        <w:rPr>
          <w:rFonts w:hint="eastAsia" w:ascii="仿宋" w:hAnsi="仿宋" w:eastAsia="仿宋"/>
          <w:b/>
          <w:sz w:val="32"/>
          <w:szCs w:val="32"/>
        </w:rPr>
        <w:t xml:space="preserve">    第十条</w:t>
      </w:r>
      <w:r>
        <w:rPr>
          <w:rFonts w:hint="eastAsia" w:ascii="仿宋" w:hAnsi="仿宋" w:eastAsia="仿宋"/>
          <w:sz w:val="32"/>
          <w:szCs w:val="32"/>
        </w:rPr>
        <w:tab/>
      </w:r>
      <w:r>
        <w:rPr>
          <w:rFonts w:hint="eastAsia" w:ascii="仿宋" w:hAnsi="仿宋" w:eastAsia="仿宋"/>
          <w:sz w:val="32"/>
          <w:szCs w:val="32"/>
        </w:rPr>
        <w:t xml:space="preserve"> 对违法行为给予从轻、减轻，或者不予行政处罚的，根据违法行为的具体情节，按照《中华人民共和国行政处罚法》第二十五条、第二十六条、第二十七条、第二十九条的规定实施。从轻处罚，是指在《裁量基准》规定的不同等次的裁量幅度中选择适用较低等次的裁量幅度，或者在某一等次的处罚金额内选择适用较低的罚款金额。减轻处罚，是指在法规规定的最低裁量等次以下予以行政处罚。</w:t>
      </w:r>
    </w:p>
    <w:p>
      <w:pPr>
        <w:spacing w:line="560" w:lineRule="exact"/>
        <w:rPr>
          <w:rFonts w:ascii="仿宋" w:hAnsi="仿宋" w:eastAsia="仿宋"/>
          <w:sz w:val="32"/>
          <w:szCs w:val="32"/>
        </w:rPr>
      </w:pPr>
      <w:r>
        <w:rPr>
          <w:rFonts w:hint="eastAsia" w:ascii="仿宋" w:hAnsi="仿宋" w:eastAsia="仿宋"/>
          <w:b/>
          <w:sz w:val="32"/>
          <w:szCs w:val="32"/>
        </w:rPr>
        <w:t xml:space="preserve">    第十一条</w:t>
      </w:r>
      <w:r>
        <w:rPr>
          <w:rFonts w:hint="eastAsia" w:ascii="仿宋" w:hAnsi="仿宋" w:eastAsia="仿宋"/>
          <w:sz w:val="32"/>
          <w:szCs w:val="32"/>
        </w:rPr>
        <w:t xml:space="preserve"> 当事人有下列情形之一的，可以认定为拒不改正: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(一)拒绝、阻挠执法人员现场调查取证的;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(二)拒不签收《责令改正通知书》或者其他执法文书的;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(三)当场拒绝改正违法行为的;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(四)30 日内再次发现有相同违法行为的；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(五)可以认定拒不改正的其他情形。</w:t>
      </w:r>
    </w:p>
    <w:p>
      <w:pPr>
        <w:spacing w:line="560" w:lineRule="exact"/>
        <w:rPr>
          <w:rFonts w:ascii="仿宋" w:hAnsi="仿宋" w:eastAsia="仿宋"/>
          <w:sz w:val="32"/>
          <w:szCs w:val="32"/>
        </w:rPr>
      </w:pPr>
      <w:r>
        <w:rPr>
          <w:rFonts w:hint="eastAsia" w:ascii="仿宋" w:hAnsi="仿宋" w:eastAsia="仿宋"/>
          <w:b/>
          <w:sz w:val="32"/>
          <w:szCs w:val="32"/>
        </w:rPr>
        <w:t xml:space="preserve">    第十二条</w:t>
      </w:r>
      <w:r>
        <w:rPr>
          <w:rFonts w:hint="eastAsia" w:ascii="仿宋" w:hAnsi="仿宋" w:eastAsia="仿宋"/>
          <w:sz w:val="32"/>
          <w:szCs w:val="32"/>
        </w:rPr>
        <w:tab/>
      </w:r>
      <w:r>
        <w:rPr>
          <w:rFonts w:hint="eastAsia" w:ascii="仿宋" w:hAnsi="仿宋" w:eastAsia="仿宋"/>
          <w:sz w:val="32"/>
          <w:szCs w:val="32"/>
        </w:rPr>
        <w:t xml:space="preserve"> 当事人有下列情形之一，可以认定为逾期不改正: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（一）拒绝、阻扰执法人员实施复查的；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（二）执法人员复查发现仍有相同违法行为的；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（三）可以认定逾期不改正的其他情形。</w:t>
      </w:r>
    </w:p>
    <w:p>
      <w:pPr>
        <w:spacing w:line="560" w:lineRule="exact"/>
        <w:rPr>
          <w:rFonts w:ascii="仿宋" w:hAnsi="仿宋" w:eastAsia="仿宋"/>
          <w:sz w:val="32"/>
          <w:szCs w:val="32"/>
        </w:rPr>
      </w:pPr>
      <w:r>
        <w:rPr>
          <w:rFonts w:hint="eastAsia" w:ascii="仿宋" w:hAnsi="仿宋" w:eastAsia="仿宋"/>
          <w:b/>
          <w:sz w:val="32"/>
          <w:szCs w:val="32"/>
        </w:rPr>
        <w:t xml:space="preserve">    第十三条</w:t>
      </w:r>
      <w:r>
        <w:rPr>
          <w:rFonts w:hint="eastAsia" w:ascii="仿宋" w:hAnsi="仿宋" w:eastAsia="仿宋"/>
          <w:sz w:val="32"/>
          <w:szCs w:val="32"/>
        </w:rPr>
        <w:t xml:space="preserve">  当事人的违法行为有下列情形之一的，从重处罚：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（一）危及公共安全、社会安定、生命财产安全、生态环境安全以及直接关系人身健康的；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（二）造成群体性事件的；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（三）经提醒、告诫、约谈、劝阻等仍继续实施违法行为的；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（四）妨碍、阻挠、逃避或者抗拒执法的；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（五）隐瞒事实，伪造、藏匿、销毁有关证据的；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（六）胁迫、教唆他人实施违法行为的；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（七）对检举人、证人实施打击报复的；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（八）在发生突发公共事件时实施违法行为的；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（九）其他应当从重行政处罚的情形。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从重处罚，是指在《裁量基准》规定的不同等次的裁量幅度中选择适用较高等次的裁量幅度，或者在某一等次的处罚金额内选择适用较高的罚款金额。</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第十四条</w:t>
      </w:r>
      <w:r>
        <w:rPr>
          <w:rFonts w:hint="eastAsia" w:ascii="仿宋" w:hAnsi="仿宋" w:eastAsia="仿宋"/>
          <w:sz w:val="32"/>
          <w:szCs w:val="32"/>
        </w:rPr>
        <w:t xml:space="preserve">  实施行政处罚，应当同时责令当事人限期改正违法行为。除法规另有规定外，改正期限根据改正的难易程度及所需合理时间确定，一般分为当场、3 日、5 日、10 日、15 日，除特殊情况外，最长一般不超过 30 日。违法行为确实无法改正的，适用未按照要求改正的情形。</w:t>
      </w:r>
    </w:p>
    <w:p>
      <w:pPr>
        <w:spacing w:line="560" w:lineRule="exact"/>
        <w:rPr>
          <w:rFonts w:ascii="仿宋" w:hAnsi="仿宋" w:eastAsia="仿宋"/>
          <w:sz w:val="32"/>
          <w:szCs w:val="32"/>
        </w:rPr>
      </w:pPr>
      <w:r>
        <w:rPr>
          <w:rFonts w:hint="eastAsia" w:ascii="仿宋" w:hAnsi="仿宋" w:eastAsia="仿宋"/>
          <w:b/>
          <w:sz w:val="32"/>
          <w:szCs w:val="32"/>
        </w:rPr>
        <w:t xml:space="preserve">    第十五条</w:t>
      </w:r>
      <w:r>
        <w:rPr>
          <w:rFonts w:hint="eastAsia" w:ascii="仿宋" w:hAnsi="仿宋" w:eastAsia="仿宋"/>
          <w:sz w:val="32"/>
          <w:szCs w:val="32"/>
        </w:rPr>
        <w:tab/>
      </w:r>
      <w:r>
        <w:rPr>
          <w:rFonts w:hint="eastAsia" w:ascii="仿宋" w:hAnsi="仿宋" w:eastAsia="仿宋"/>
          <w:sz w:val="32"/>
          <w:szCs w:val="32"/>
        </w:rPr>
        <w:t xml:space="preserve"> 除法规另有规定外，责令停业整顿的期限根据违法行为的严重程度及所需合理时间确定，一般分为 5 日、10 日、15 日、30 日，除特殊情况外，最长不超过 180 日。</w:t>
      </w:r>
    </w:p>
    <w:p>
      <w:pPr>
        <w:spacing w:line="560" w:lineRule="exact"/>
        <w:rPr>
          <w:rFonts w:ascii="仿宋" w:hAnsi="仿宋" w:eastAsia="仿宋"/>
          <w:sz w:val="32"/>
          <w:szCs w:val="32"/>
        </w:rPr>
      </w:pPr>
      <w:r>
        <w:rPr>
          <w:rFonts w:hint="eastAsia" w:ascii="仿宋" w:hAnsi="仿宋" w:eastAsia="仿宋"/>
          <w:b/>
          <w:sz w:val="32"/>
          <w:szCs w:val="32"/>
        </w:rPr>
        <w:t xml:space="preserve">    第十六条</w:t>
      </w:r>
      <w:r>
        <w:rPr>
          <w:rFonts w:hint="eastAsia" w:ascii="仿宋" w:hAnsi="仿宋" w:eastAsia="仿宋"/>
          <w:sz w:val="32"/>
          <w:szCs w:val="32"/>
        </w:rPr>
        <w:tab/>
      </w:r>
      <w:r>
        <w:rPr>
          <w:rFonts w:hint="eastAsia" w:ascii="仿宋" w:hAnsi="仿宋" w:eastAsia="仿宋"/>
          <w:sz w:val="32"/>
          <w:szCs w:val="32"/>
        </w:rPr>
        <w:t xml:space="preserve"> 除法规有明确规定的以外，给予没收违法所得的行政处罚的，应当扣除实际发生的成本、规费和税金。</w:t>
      </w:r>
    </w:p>
    <w:p>
      <w:pPr>
        <w:spacing w:line="560" w:lineRule="exact"/>
        <w:rPr>
          <w:rFonts w:ascii="仿宋" w:hAnsi="仿宋" w:eastAsia="仿宋"/>
          <w:sz w:val="32"/>
          <w:szCs w:val="32"/>
        </w:rPr>
      </w:pPr>
      <w:r>
        <w:rPr>
          <w:rFonts w:hint="eastAsia" w:ascii="仿宋" w:hAnsi="仿宋" w:eastAsia="仿宋"/>
          <w:b/>
          <w:sz w:val="32"/>
          <w:szCs w:val="32"/>
        </w:rPr>
        <w:t xml:space="preserve">    第十七条</w:t>
      </w:r>
      <w:r>
        <w:rPr>
          <w:rFonts w:hint="eastAsia" w:ascii="仿宋" w:hAnsi="仿宋" w:eastAsia="仿宋"/>
          <w:sz w:val="32"/>
          <w:szCs w:val="32"/>
        </w:rPr>
        <w:tab/>
      </w:r>
      <w:r>
        <w:rPr>
          <w:rFonts w:hint="eastAsia" w:ascii="仿宋" w:hAnsi="仿宋" w:eastAsia="仿宋"/>
          <w:sz w:val="32"/>
          <w:szCs w:val="32"/>
        </w:rPr>
        <w:t xml:space="preserve"> 执法部门及其工作人员在实施行政处罚裁量时，应当充分听取当事人的陈述、申辩。对当事人的申辩意见是否采纳，给予从轻、减轻、从重、不予处罚的事实和理由，应当在行政处罚决定中予以说明。</w:t>
      </w:r>
    </w:p>
    <w:p>
      <w:pPr>
        <w:spacing w:line="560" w:lineRule="exact"/>
        <w:rPr>
          <w:rFonts w:ascii="仿宋" w:hAnsi="仿宋" w:eastAsia="仿宋"/>
          <w:sz w:val="32"/>
          <w:szCs w:val="32"/>
        </w:rPr>
      </w:pPr>
      <w:r>
        <w:rPr>
          <w:rFonts w:hint="eastAsia" w:ascii="仿宋" w:hAnsi="仿宋" w:eastAsia="仿宋"/>
          <w:b/>
          <w:sz w:val="32"/>
          <w:szCs w:val="32"/>
        </w:rPr>
        <w:t xml:space="preserve">    第十八条</w:t>
      </w:r>
      <w:r>
        <w:rPr>
          <w:rFonts w:hint="eastAsia" w:ascii="仿宋" w:hAnsi="仿宋" w:eastAsia="仿宋"/>
          <w:sz w:val="32"/>
          <w:szCs w:val="32"/>
        </w:rPr>
        <w:tab/>
      </w:r>
      <w:r>
        <w:rPr>
          <w:rFonts w:hint="eastAsia" w:ascii="仿宋" w:hAnsi="仿宋" w:eastAsia="仿宋"/>
          <w:sz w:val="32"/>
          <w:szCs w:val="32"/>
        </w:rPr>
        <w:t xml:space="preserve"> 行政处罚决定作出前，应当依据法规、《裁量基准》和本规则进行合法性审查。</w:t>
      </w:r>
    </w:p>
    <w:p>
      <w:pPr>
        <w:spacing w:line="560" w:lineRule="exact"/>
        <w:rPr>
          <w:rFonts w:ascii="仿宋" w:hAnsi="仿宋" w:eastAsia="仿宋"/>
          <w:sz w:val="32"/>
          <w:szCs w:val="32"/>
        </w:rPr>
      </w:pPr>
      <w:r>
        <w:rPr>
          <w:rFonts w:hint="eastAsia" w:ascii="仿宋" w:hAnsi="仿宋" w:eastAsia="仿宋"/>
          <w:b/>
          <w:sz w:val="32"/>
          <w:szCs w:val="32"/>
        </w:rPr>
        <w:t xml:space="preserve">    第十九条</w:t>
      </w:r>
      <w:r>
        <w:rPr>
          <w:rFonts w:hint="eastAsia" w:ascii="仿宋" w:hAnsi="仿宋" w:eastAsia="仿宋"/>
          <w:sz w:val="32"/>
          <w:szCs w:val="32"/>
        </w:rPr>
        <w:tab/>
      </w:r>
      <w:r>
        <w:rPr>
          <w:rFonts w:hint="eastAsia" w:ascii="仿宋" w:hAnsi="仿宋" w:eastAsia="仿宋"/>
          <w:sz w:val="32"/>
          <w:szCs w:val="32"/>
        </w:rPr>
        <w:t>《裁量基准》中，“以上”包括本数，“以下”不包括本数，但最高等次均包括本数。</w:t>
      </w:r>
    </w:p>
    <w:p>
      <w:pPr>
        <w:spacing w:line="560" w:lineRule="exact"/>
        <w:rPr>
          <w:rFonts w:ascii="仿宋" w:hAnsi="仿宋" w:eastAsia="仿宋"/>
          <w:sz w:val="32"/>
          <w:szCs w:val="32"/>
        </w:rPr>
      </w:pPr>
      <w:r>
        <w:rPr>
          <w:rFonts w:hint="eastAsia" w:ascii="仿宋" w:hAnsi="仿宋" w:eastAsia="仿宋"/>
          <w:b/>
          <w:sz w:val="32"/>
          <w:szCs w:val="32"/>
        </w:rPr>
        <w:t xml:space="preserve">    第二十条</w:t>
      </w:r>
      <w:r>
        <w:rPr>
          <w:rFonts w:hint="eastAsia" w:ascii="仿宋" w:hAnsi="仿宋" w:eastAsia="仿宋"/>
          <w:sz w:val="32"/>
          <w:szCs w:val="32"/>
        </w:rPr>
        <w:tab/>
      </w:r>
      <w:r>
        <w:rPr>
          <w:rFonts w:hint="eastAsia" w:ascii="仿宋" w:hAnsi="仿宋" w:eastAsia="仿宋"/>
          <w:sz w:val="32"/>
          <w:szCs w:val="32"/>
        </w:rPr>
        <w:t xml:space="preserve"> 本规则关于“日”的规定是指自然日。</w:t>
      </w:r>
    </w:p>
    <w:p>
      <w:pPr>
        <w:spacing w:line="560" w:lineRule="exact"/>
        <w:rPr>
          <w:rFonts w:ascii="仿宋" w:hAnsi="仿宋" w:eastAsia="仿宋"/>
          <w:sz w:val="32"/>
          <w:szCs w:val="32"/>
        </w:rPr>
      </w:pPr>
      <w:r>
        <w:rPr>
          <w:rFonts w:hint="eastAsia" w:ascii="仿宋" w:hAnsi="仿宋" w:eastAsia="仿宋"/>
          <w:b/>
          <w:sz w:val="32"/>
          <w:szCs w:val="32"/>
        </w:rPr>
        <w:t xml:space="preserve">    第二十一条</w:t>
      </w:r>
      <w:r>
        <w:rPr>
          <w:rFonts w:hint="eastAsia" w:ascii="仿宋" w:hAnsi="仿宋" w:eastAsia="仿宋"/>
          <w:sz w:val="32"/>
          <w:szCs w:val="32"/>
        </w:rPr>
        <w:tab/>
      </w:r>
      <w:r>
        <w:rPr>
          <w:rFonts w:hint="eastAsia" w:ascii="仿宋" w:hAnsi="仿宋" w:eastAsia="仿宋"/>
          <w:sz w:val="32"/>
          <w:szCs w:val="32"/>
        </w:rPr>
        <w:t>本规则由溧阳市住房和城乡建设局负责解释。</w:t>
      </w:r>
    </w:p>
    <w:p>
      <w:pPr>
        <w:spacing w:line="560" w:lineRule="exact"/>
        <w:rPr>
          <w:rFonts w:ascii="仿宋" w:hAnsi="仿宋" w:eastAsia="仿宋"/>
          <w:sz w:val="32"/>
          <w:szCs w:val="32"/>
        </w:rPr>
      </w:pPr>
      <w:r>
        <w:rPr>
          <w:rFonts w:hint="eastAsia" w:ascii="仿宋" w:hAnsi="仿宋" w:eastAsia="仿宋"/>
          <w:b/>
          <w:sz w:val="32"/>
          <w:szCs w:val="32"/>
        </w:rPr>
        <w:t xml:space="preserve">    第二十二条</w:t>
      </w:r>
      <w:r>
        <w:rPr>
          <w:rFonts w:hint="eastAsia" w:ascii="仿宋" w:hAnsi="仿宋" w:eastAsia="仿宋"/>
          <w:sz w:val="32"/>
          <w:szCs w:val="32"/>
        </w:rPr>
        <w:tab/>
      </w:r>
      <w:r>
        <w:rPr>
          <w:rFonts w:hint="eastAsia" w:ascii="仿宋" w:hAnsi="仿宋" w:eastAsia="仿宋"/>
          <w:sz w:val="32"/>
          <w:szCs w:val="32"/>
        </w:rPr>
        <w:t>本规则和《裁量基准》自</w:t>
      </w:r>
      <w:r>
        <w:rPr>
          <w:rFonts w:hint="eastAsia" w:ascii="仿宋" w:hAnsi="仿宋" w:eastAsia="仿宋"/>
          <w:sz w:val="32"/>
          <w:szCs w:val="32"/>
          <w:lang w:val="en-US" w:eastAsia="zh-CN"/>
        </w:rPr>
        <w:t>发布之日</w:t>
      </w:r>
      <w:r>
        <w:rPr>
          <w:rFonts w:hint="eastAsia" w:ascii="仿宋" w:hAnsi="仿宋" w:eastAsia="仿宋"/>
          <w:sz w:val="32"/>
          <w:szCs w:val="32"/>
        </w:rPr>
        <w:t>起施行。</w: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2A8415C-D26A-45FF-A7B7-F8E1A8D4E116}"/>
  </w:font>
  <w:font w:name="仿宋">
    <w:panose1 w:val="02010609060101010101"/>
    <w:charset w:val="86"/>
    <w:family w:val="modern"/>
    <w:pitch w:val="default"/>
    <w:sig w:usb0="800002BF" w:usb1="38CF7CFA" w:usb2="00000016" w:usb3="00000000" w:csb0="00040001" w:csb1="00000000"/>
    <w:embedRegular r:id="rId2" w:fontKey="{01253A46-AC16-4311-BA31-52E0687EE2A7}"/>
  </w:font>
  <w:font w:name="方正小标宋简体">
    <w:panose1 w:val="02000000000000000000"/>
    <w:charset w:val="86"/>
    <w:family w:val="script"/>
    <w:pitch w:val="default"/>
    <w:sig w:usb0="00000001" w:usb1="08000000" w:usb2="00000000" w:usb3="00000000" w:csb0="00040000" w:csb1="00000000"/>
    <w:embedRegular r:id="rId3" w:fontKey="{7C23D456-27F3-4EDD-A127-52BE34C03B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A3C"/>
    <w:rsid w:val="001D1A3C"/>
    <w:rsid w:val="003B540E"/>
    <w:rsid w:val="005A3A19"/>
    <w:rsid w:val="00652004"/>
    <w:rsid w:val="00774382"/>
    <w:rsid w:val="008C43AE"/>
    <w:rsid w:val="00945F3F"/>
    <w:rsid w:val="009E22EA"/>
    <w:rsid w:val="00E57479"/>
    <w:rsid w:val="0AF77C80"/>
    <w:rsid w:val="3CBE0256"/>
    <w:rsid w:val="7D880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380</Words>
  <Characters>2166</Characters>
  <Lines>18</Lines>
  <Paragraphs>5</Paragraphs>
  <TotalTime>23</TotalTime>
  <ScaleCrop>false</ScaleCrop>
  <LinksUpToDate>false</LinksUpToDate>
  <CharactersWithSpaces>2541</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2021-06-09T01:55:00Z</dcterms:created>
  <dc:creator>微软用户</dc:creator>
  <cp:lastModifiedBy>Luminous_飞</cp:lastModifiedBy>
  <dcterms:modified xsi:type="dcterms:W3CDTF">2021-06-21T02:50:41Z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