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20" w:beforeLines="50" w:after="120" w:afterLines="50"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溧阳市松材线虫病疫情防控五年攻坚行动方案</w:t>
      </w:r>
    </w:p>
    <w:p>
      <w:pPr>
        <w:adjustRightInd w:val="0"/>
        <w:spacing w:line="560" w:lineRule="exact"/>
        <w:jc w:val="center"/>
        <w:rPr>
          <w:rFonts w:hint="eastAsia" w:eastAsia="仿宋_GB2312"/>
          <w:sz w:val="32"/>
          <w:szCs w:val="32"/>
        </w:rPr>
      </w:pPr>
      <w:r>
        <w:rPr>
          <w:rFonts w:eastAsia="仿宋_GB2312"/>
          <w:sz w:val="32"/>
          <w:szCs w:val="32"/>
        </w:rPr>
        <w:t>（2021</w:t>
      </w:r>
      <w:r>
        <w:rPr>
          <w:rFonts w:hint="eastAsia" w:eastAsia="仿宋_GB2312"/>
          <w:sz w:val="32"/>
          <w:szCs w:val="32"/>
        </w:rPr>
        <w:t>-</w:t>
      </w:r>
      <w:r>
        <w:rPr>
          <w:rFonts w:eastAsia="仿宋_GB2312"/>
          <w:sz w:val="32"/>
          <w:szCs w:val="32"/>
        </w:rPr>
        <w:t>2025年）</w:t>
      </w:r>
    </w:p>
    <w:p>
      <w:pPr>
        <w:adjustRightInd w:val="0"/>
        <w:spacing w:line="560" w:lineRule="exact"/>
        <w:jc w:val="center"/>
        <w:rPr>
          <w:rFonts w:eastAsia="仿宋_GB2312"/>
          <w:sz w:val="32"/>
          <w:szCs w:val="32"/>
        </w:rPr>
      </w:pPr>
    </w:p>
    <w:p>
      <w:pPr>
        <w:spacing w:line="550" w:lineRule="exact"/>
        <w:ind w:firstLine="640" w:firstLineChars="200"/>
        <w:rPr>
          <w:rFonts w:eastAsia="仿宋_GB2312"/>
          <w:sz w:val="32"/>
          <w:szCs w:val="32"/>
        </w:rPr>
      </w:pPr>
      <w:r>
        <w:rPr>
          <w:rFonts w:eastAsia="仿宋_GB2312"/>
          <w:sz w:val="32"/>
          <w:szCs w:val="32"/>
        </w:rPr>
        <w:t>松材线虫病是全球森林生态系统中最具危险性、毁灭性的病害，</w:t>
      </w:r>
      <w:r>
        <w:rPr>
          <w:rFonts w:hint="eastAsia" w:eastAsia="仿宋_GB2312"/>
          <w:sz w:val="32"/>
          <w:szCs w:val="32"/>
        </w:rPr>
        <w:t>是国家一级危害性林业有害生物，</w:t>
      </w:r>
      <w:r>
        <w:rPr>
          <w:rFonts w:eastAsia="仿宋_GB2312"/>
          <w:sz w:val="32"/>
          <w:szCs w:val="32"/>
        </w:rPr>
        <w:t>对国土生态安全、生物安全构成严重威胁。为有效遏制松材线虫病快速蔓延态势，</w:t>
      </w:r>
      <w:r>
        <w:rPr>
          <w:rFonts w:hint="eastAsia" w:eastAsia="仿宋_GB2312"/>
          <w:sz w:val="32"/>
          <w:szCs w:val="32"/>
        </w:rPr>
        <w:t>省林业</w:t>
      </w:r>
      <w:r>
        <w:rPr>
          <w:rFonts w:eastAsia="仿宋_GB2312"/>
          <w:sz w:val="32"/>
          <w:szCs w:val="32"/>
        </w:rPr>
        <w:t>局于</w:t>
      </w:r>
      <w:r>
        <w:rPr>
          <w:rFonts w:hint="eastAsia" w:eastAsia="仿宋_GB2312"/>
          <w:sz w:val="32"/>
          <w:szCs w:val="32"/>
        </w:rPr>
        <w:t>“</w:t>
      </w:r>
      <w:r>
        <w:rPr>
          <w:rFonts w:eastAsia="仿宋_GB2312"/>
          <w:sz w:val="32"/>
          <w:szCs w:val="32"/>
        </w:rPr>
        <w:t>十四五</w:t>
      </w:r>
      <w:r>
        <w:rPr>
          <w:rFonts w:hint="eastAsia" w:eastAsia="仿宋_GB2312"/>
          <w:sz w:val="32"/>
          <w:szCs w:val="32"/>
        </w:rPr>
        <w:t>”</w:t>
      </w:r>
      <w:r>
        <w:rPr>
          <w:rFonts w:eastAsia="仿宋_GB2312"/>
          <w:sz w:val="32"/>
          <w:szCs w:val="32"/>
        </w:rPr>
        <w:t>期间在全</w:t>
      </w:r>
      <w:r>
        <w:rPr>
          <w:rFonts w:hint="eastAsia" w:eastAsia="仿宋_GB2312"/>
          <w:sz w:val="32"/>
          <w:szCs w:val="32"/>
        </w:rPr>
        <w:t>省</w:t>
      </w:r>
      <w:r>
        <w:rPr>
          <w:rFonts w:eastAsia="仿宋_GB2312"/>
          <w:sz w:val="32"/>
          <w:szCs w:val="32"/>
        </w:rPr>
        <w:t>范围内组织开展松材线虫病防控</w:t>
      </w:r>
      <w:r>
        <w:rPr>
          <w:rFonts w:hint="eastAsia" w:eastAsia="仿宋_GB2312"/>
          <w:sz w:val="32"/>
          <w:szCs w:val="32"/>
        </w:rPr>
        <w:t>五</w:t>
      </w:r>
      <w:r>
        <w:rPr>
          <w:rFonts w:eastAsia="仿宋_GB2312"/>
          <w:sz w:val="32"/>
          <w:szCs w:val="32"/>
        </w:rPr>
        <w:t>年攻坚行动。为使攻坚行动在我</w:t>
      </w:r>
      <w:r>
        <w:rPr>
          <w:rFonts w:hint="eastAsia" w:eastAsia="仿宋_GB2312"/>
          <w:sz w:val="32"/>
          <w:szCs w:val="32"/>
        </w:rPr>
        <w:t>市</w:t>
      </w:r>
      <w:r>
        <w:rPr>
          <w:rFonts w:eastAsia="仿宋_GB2312"/>
          <w:sz w:val="32"/>
          <w:szCs w:val="32"/>
        </w:rPr>
        <w:t>顺利开展并取得预期成效，根据《</w:t>
      </w:r>
      <w:r>
        <w:rPr>
          <w:rFonts w:hint="eastAsia" w:eastAsia="仿宋_GB2312"/>
          <w:sz w:val="32"/>
          <w:szCs w:val="32"/>
        </w:rPr>
        <w:t>江苏省</w:t>
      </w:r>
      <w:r>
        <w:rPr>
          <w:rFonts w:eastAsia="仿宋_GB2312"/>
          <w:sz w:val="32"/>
          <w:szCs w:val="32"/>
        </w:rPr>
        <w:t>松材线虫病疫情防控五年攻坚行动</w:t>
      </w:r>
      <w:r>
        <w:rPr>
          <w:rFonts w:hint="eastAsia" w:eastAsia="仿宋_GB2312"/>
          <w:sz w:val="32"/>
          <w:szCs w:val="32"/>
        </w:rPr>
        <w:t>方案</w:t>
      </w:r>
      <w:r>
        <w:rPr>
          <w:rFonts w:eastAsia="仿宋_GB2312"/>
          <w:sz w:val="32"/>
          <w:szCs w:val="32"/>
        </w:rPr>
        <w:t>（2021</w:t>
      </w:r>
      <w:r>
        <w:rPr>
          <w:rFonts w:hint="eastAsia" w:eastAsia="仿宋_GB2312"/>
          <w:sz w:val="32"/>
          <w:szCs w:val="32"/>
        </w:rPr>
        <w:t>-</w:t>
      </w:r>
      <w:r>
        <w:rPr>
          <w:rFonts w:eastAsia="仿宋_GB2312"/>
          <w:sz w:val="32"/>
          <w:szCs w:val="32"/>
        </w:rPr>
        <w:t>2025年）》</w:t>
      </w:r>
      <w:r>
        <w:rPr>
          <w:rFonts w:hint="eastAsia" w:eastAsia="仿宋_GB2312"/>
          <w:sz w:val="32"/>
          <w:szCs w:val="32"/>
        </w:rPr>
        <w:t>和《常州市松材线虫病疫情防控五年攻坚行动方案</w:t>
      </w:r>
      <w:r>
        <w:rPr>
          <w:rFonts w:eastAsia="仿宋_GB2312"/>
          <w:sz w:val="32"/>
          <w:szCs w:val="32"/>
        </w:rPr>
        <w:t>（2021</w:t>
      </w:r>
      <w:r>
        <w:rPr>
          <w:rFonts w:hint="eastAsia" w:eastAsia="仿宋_GB2312"/>
          <w:sz w:val="32"/>
          <w:szCs w:val="32"/>
        </w:rPr>
        <w:t>-</w:t>
      </w:r>
      <w:r>
        <w:rPr>
          <w:rFonts w:eastAsia="仿宋_GB2312"/>
          <w:sz w:val="32"/>
          <w:szCs w:val="32"/>
        </w:rPr>
        <w:t>2025年）</w:t>
      </w:r>
      <w:r>
        <w:rPr>
          <w:rFonts w:hint="eastAsia" w:eastAsia="仿宋_GB2312"/>
          <w:sz w:val="32"/>
          <w:szCs w:val="32"/>
        </w:rPr>
        <w:t>》</w:t>
      </w:r>
      <w:r>
        <w:rPr>
          <w:rFonts w:eastAsia="仿宋_GB2312"/>
          <w:sz w:val="32"/>
          <w:szCs w:val="32"/>
        </w:rPr>
        <w:t>，结合我</w:t>
      </w:r>
      <w:r>
        <w:rPr>
          <w:rFonts w:hint="eastAsia" w:eastAsia="仿宋_GB2312"/>
          <w:sz w:val="32"/>
          <w:szCs w:val="32"/>
        </w:rPr>
        <w:t>市</w:t>
      </w:r>
      <w:r>
        <w:rPr>
          <w:rFonts w:eastAsia="仿宋_GB2312"/>
          <w:sz w:val="32"/>
          <w:szCs w:val="32"/>
        </w:rPr>
        <w:t>实际，制定本实施方案。</w:t>
      </w:r>
    </w:p>
    <w:p>
      <w:pPr>
        <w:spacing w:line="550" w:lineRule="exact"/>
        <w:ind w:firstLine="720" w:firstLineChars="225"/>
        <w:rPr>
          <w:rFonts w:ascii="黑体" w:hAnsi="黑体" w:eastAsia="黑体" w:cs="黑体"/>
          <w:b/>
          <w:bCs/>
          <w:sz w:val="32"/>
          <w:szCs w:val="32"/>
        </w:rPr>
      </w:pPr>
      <w:r>
        <w:rPr>
          <w:rFonts w:hint="eastAsia" w:ascii="黑体" w:hAnsi="黑体" w:eastAsia="黑体" w:cs="黑体"/>
          <w:sz w:val="32"/>
          <w:szCs w:val="32"/>
        </w:rPr>
        <w:t>一、总体要求</w:t>
      </w:r>
    </w:p>
    <w:p>
      <w:pPr>
        <w:spacing w:line="550" w:lineRule="exact"/>
        <w:ind w:firstLine="640" w:firstLineChars="200"/>
        <w:jc w:val="left"/>
        <w:rPr>
          <w:rFonts w:eastAsia="仿宋_GB2312"/>
          <w:sz w:val="32"/>
          <w:szCs w:val="32"/>
        </w:rPr>
      </w:pPr>
      <w:r>
        <w:rPr>
          <w:rFonts w:eastAsia="仿宋_GB2312"/>
          <w:sz w:val="32"/>
          <w:szCs w:val="32"/>
        </w:rPr>
        <w:t>以习近平新时代中国特色社会主义思想为指导，坚定不移践行绿水青山就是金山银山理念，全面贯彻《生物安全法》《森林法》《国务院办公厅关于科学绿化的指导意见》《国务院办公厅关于进一步加强林业有害生物防治工作的意见》《国家林业和草原局关于科学防控松材线虫病疫情的指导意见》</w:t>
      </w:r>
      <w:r>
        <w:rPr>
          <w:rFonts w:hint="eastAsia" w:eastAsia="仿宋_GB2312"/>
          <w:sz w:val="32"/>
          <w:szCs w:val="32"/>
        </w:rPr>
        <w:t>《江苏省林业有害生物防控办法》</w:t>
      </w:r>
      <w:r>
        <w:rPr>
          <w:rFonts w:eastAsia="仿宋_GB2312"/>
          <w:sz w:val="32"/>
          <w:szCs w:val="32"/>
        </w:rPr>
        <w:t>《江苏省林业局关于科学防控松材线虫病疫情的实施意见》，坚持</w:t>
      </w:r>
      <w:r>
        <w:rPr>
          <w:rFonts w:hint="eastAsia" w:eastAsia="仿宋_GB2312"/>
          <w:sz w:val="32"/>
          <w:szCs w:val="32"/>
        </w:rPr>
        <w:t>“</w:t>
      </w:r>
      <w:r>
        <w:rPr>
          <w:rFonts w:eastAsia="仿宋_GB2312"/>
          <w:sz w:val="32"/>
          <w:szCs w:val="32"/>
        </w:rPr>
        <w:t>逐步压缩、重点拔除、全面控制</w:t>
      </w:r>
      <w:r>
        <w:rPr>
          <w:rFonts w:hint="eastAsia" w:eastAsia="仿宋_GB2312"/>
          <w:sz w:val="32"/>
          <w:szCs w:val="32"/>
        </w:rPr>
        <w:t>”</w:t>
      </w:r>
      <w:r>
        <w:rPr>
          <w:rFonts w:eastAsia="仿宋_GB2312"/>
          <w:sz w:val="32"/>
          <w:szCs w:val="32"/>
        </w:rPr>
        <w:t>的疫情防控总方向，按照</w:t>
      </w:r>
      <w:r>
        <w:rPr>
          <w:rFonts w:hint="eastAsia" w:eastAsia="仿宋_GB2312"/>
          <w:sz w:val="32"/>
          <w:szCs w:val="32"/>
        </w:rPr>
        <w:t>“</w:t>
      </w:r>
      <w:r>
        <w:rPr>
          <w:rFonts w:eastAsia="仿宋_GB2312"/>
          <w:sz w:val="32"/>
          <w:szCs w:val="32"/>
        </w:rPr>
        <w:t>预防为先、治理为要、监管为重</w:t>
      </w:r>
      <w:r>
        <w:rPr>
          <w:rFonts w:hint="eastAsia" w:eastAsia="仿宋_GB2312"/>
          <w:sz w:val="32"/>
          <w:szCs w:val="32"/>
        </w:rPr>
        <w:t>”</w:t>
      </w:r>
      <w:r>
        <w:rPr>
          <w:rFonts w:eastAsia="仿宋_GB2312"/>
          <w:sz w:val="32"/>
          <w:szCs w:val="32"/>
        </w:rPr>
        <w:t>的防治策略，遵循分区分级管理、科学精准施策的工作思路，以疫情监测、疫源管控、疫情除治为重点，强化联防联控，控制增量，消减存量，打好疫情防控五年攻坚战，维护</w:t>
      </w:r>
      <w:r>
        <w:rPr>
          <w:rFonts w:hint="eastAsia" w:eastAsia="仿宋_GB2312"/>
          <w:sz w:val="32"/>
          <w:szCs w:val="32"/>
        </w:rPr>
        <w:t>我市</w:t>
      </w:r>
      <w:r>
        <w:rPr>
          <w:rFonts w:eastAsia="仿宋_GB2312"/>
          <w:sz w:val="32"/>
          <w:szCs w:val="32"/>
        </w:rPr>
        <w:t>生态安全。</w:t>
      </w:r>
    </w:p>
    <w:p>
      <w:pPr>
        <w:spacing w:line="550" w:lineRule="exact"/>
        <w:rPr>
          <w:rFonts w:eastAsia="仿宋_GB2312"/>
          <w:sz w:val="32"/>
          <w:szCs w:val="32"/>
        </w:rPr>
      </w:pPr>
      <w:r>
        <w:rPr>
          <w:rFonts w:ascii="黑体" w:hAnsi="黑体" w:eastAsia="黑体" w:cs="黑体"/>
          <w:sz w:val="32"/>
          <w:szCs w:val="32"/>
        </w:rPr>
        <w:t xml:space="preserve">   二、行动区划</w:t>
      </w:r>
      <w:r>
        <w:rPr>
          <w:rFonts w:hint="eastAsia" w:ascii="黑体" w:hAnsi="黑体" w:eastAsia="黑体" w:cs="黑体"/>
          <w:sz w:val="32"/>
          <w:szCs w:val="32"/>
        </w:rPr>
        <w:t>与</w:t>
      </w:r>
      <w:r>
        <w:rPr>
          <w:rFonts w:ascii="黑体" w:hAnsi="黑体" w:eastAsia="黑体" w:cs="黑体"/>
          <w:sz w:val="32"/>
          <w:szCs w:val="32"/>
        </w:rPr>
        <w:t>目标</w:t>
      </w:r>
    </w:p>
    <w:p>
      <w:pPr>
        <w:spacing w:line="550" w:lineRule="exact"/>
        <w:ind w:firstLine="643" w:firstLineChars="200"/>
        <w:rPr>
          <w:rFonts w:eastAsia="仿宋_GB2312"/>
          <w:sz w:val="32"/>
          <w:szCs w:val="32"/>
        </w:rPr>
      </w:pPr>
      <w:r>
        <w:rPr>
          <w:rFonts w:ascii="楷体_GB2312" w:hAnsi="楷体_GB2312" w:eastAsia="楷体_GB2312" w:cs="楷体_GB2312"/>
          <w:b/>
          <w:bCs/>
          <w:sz w:val="32"/>
          <w:szCs w:val="32"/>
        </w:rPr>
        <w:t>（一）</w:t>
      </w:r>
      <w:r>
        <w:rPr>
          <w:rFonts w:hint="eastAsia" w:ascii="楷体_GB2312" w:hAnsi="楷体_GB2312" w:eastAsia="楷体_GB2312" w:cs="楷体_GB2312"/>
          <w:b/>
          <w:bCs/>
          <w:sz w:val="32"/>
          <w:szCs w:val="32"/>
        </w:rPr>
        <w:t>行动区划</w:t>
      </w:r>
      <w:r>
        <w:rPr>
          <w:rFonts w:ascii="楷体_GB2312" w:hAnsi="楷体_GB2312" w:eastAsia="楷体_GB2312" w:cs="楷体_GB2312"/>
          <w:b/>
          <w:bCs/>
          <w:sz w:val="32"/>
          <w:szCs w:val="32"/>
        </w:rPr>
        <w:t>。</w:t>
      </w:r>
      <w:r>
        <w:rPr>
          <w:rFonts w:eastAsia="仿宋_GB2312"/>
          <w:sz w:val="32"/>
          <w:szCs w:val="32"/>
        </w:rPr>
        <w:t>根据</w:t>
      </w:r>
      <w:r>
        <w:rPr>
          <w:rFonts w:hint="eastAsia" w:eastAsia="仿宋_GB2312"/>
          <w:sz w:val="32"/>
          <w:szCs w:val="32"/>
        </w:rPr>
        <w:t>国家</w:t>
      </w:r>
      <w:r>
        <w:rPr>
          <w:rFonts w:eastAsia="仿宋_GB2312"/>
          <w:sz w:val="32"/>
          <w:szCs w:val="32"/>
        </w:rPr>
        <w:t>关于分区分级管理的要求，将发生面积大、危害程度重的疫区划为重型疫区；将发生面积小、危害程度轻</w:t>
      </w:r>
      <w:r>
        <w:rPr>
          <w:rFonts w:hint="eastAsia" w:eastAsia="仿宋_GB2312"/>
          <w:sz w:val="32"/>
          <w:szCs w:val="32"/>
        </w:rPr>
        <w:t>，或生态区位重要必须拨除</w:t>
      </w:r>
      <w:r>
        <w:rPr>
          <w:rFonts w:eastAsia="仿宋_GB2312"/>
          <w:sz w:val="32"/>
          <w:szCs w:val="32"/>
        </w:rPr>
        <w:t>的疫区划为轻型疫区</w:t>
      </w:r>
      <w:r>
        <w:rPr>
          <w:rFonts w:hint="eastAsia" w:eastAsia="仿宋_GB2312"/>
          <w:sz w:val="32"/>
          <w:szCs w:val="32"/>
        </w:rPr>
        <w:t>；</w:t>
      </w:r>
      <w:r>
        <w:rPr>
          <w:rFonts w:eastAsia="仿宋_GB2312"/>
          <w:sz w:val="32"/>
          <w:szCs w:val="32"/>
        </w:rPr>
        <w:t>将未发生疫情的</w:t>
      </w:r>
      <w:r>
        <w:rPr>
          <w:rFonts w:hint="eastAsia" w:eastAsia="仿宋_GB2312"/>
          <w:sz w:val="32"/>
          <w:szCs w:val="32"/>
        </w:rPr>
        <w:t>松林分布区域划分为预防区，其中</w:t>
      </w:r>
      <w:r>
        <w:rPr>
          <w:rFonts w:eastAsia="仿宋_GB2312"/>
          <w:sz w:val="32"/>
          <w:szCs w:val="32"/>
        </w:rPr>
        <w:t>具有重要生态、经济、文化价值或政治影响需特别保护的区域划为重点预防区。</w:t>
      </w:r>
      <w:r>
        <w:rPr>
          <w:rFonts w:hint="eastAsia" w:eastAsia="仿宋_GB2312"/>
          <w:sz w:val="32"/>
          <w:szCs w:val="32"/>
        </w:rPr>
        <w:t>结合实际，我市为重型疫区，目前共6个疫点乡镇（街道）及林场，具体为溧城街道、昆仑街道、天目湖镇、戴埠镇、社渚镇和国有林场总场。</w:t>
      </w:r>
    </w:p>
    <w:p>
      <w:pPr>
        <w:spacing w:line="550" w:lineRule="exact"/>
        <w:ind w:firstLine="640"/>
        <w:rPr>
          <w:rFonts w:eastAsia="仿宋_GB2312"/>
          <w:sz w:val="32"/>
          <w:szCs w:val="32"/>
        </w:rPr>
      </w:pPr>
      <w:r>
        <w:rPr>
          <w:rFonts w:hint="eastAsia" w:ascii="楷体_GB2312" w:hAnsi="楷体_GB2312" w:eastAsia="楷体_GB2312" w:cs="楷体_GB2312"/>
          <w:b/>
          <w:bCs/>
          <w:sz w:val="32"/>
          <w:szCs w:val="32"/>
        </w:rPr>
        <w:t>（二）行动目标。</w:t>
      </w:r>
      <w:r>
        <w:rPr>
          <w:rFonts w:eastAsia="仿宋_GB2312"/>
          <w:sz w:val="32"/>
          <w:szCs w:val="32"/>
        </w:rPr>
        <w:t>到</w:t>
      </w:r>
      <w:r>
        <w:rPr>
          <w:rStyle w:val="7"/>
          <w:rFonts w:ascii="Times New Roman" w:hAnsi="Times New Roman" w:eastAsia="仿宋_GB2312"/>
          <w:sz w:val="32"/>
          <w:szCs w:val="32"/>
          <w:lang w:val="zh-TW"/>
        </w:rPr>
        <w:t>2025年，</w:t>
      </w:r>
      <w:r>
        <w:rPr>
          <w:rStyle w:val="7"/>
          <w:rFonts w:hint="eastAsia" w:ascii="Times New Roman" w:hAnsi="Times New Roman" w:eastAsia="仿宋_GB2312"/>
          <w:sz w:val="32"/>
          <w:szCs w:val="32"/>
          <w:lang w:val="zh-TW"/>
        </w:rPr>
        <w:t>我市</w:t>
      </w:r>
      <w:r>
        <w:rPr>
          <w:rStyle w:val="7"/>
          <w:rFonts w:hint="eastAsia" w:ascii="Times New Roman" w:hAnsi="Times New Roman" w:eastAsia="仿宋_GB2312"/>
          <w:sz w:val="32"/>
          <w:szCs w:val="32"/>
        </w:rPr>
        <w:t>疫点</w:t>
      </w:r>
      <w:r>
        <w:rPr>
          <w:rStyle w:val="7"/>
          <w:rFonts w:ascii="Times New Roman" w:hAnsi="Times New Roman" w:eastAsia="仿宋_GB2312"/>
          <w:sz w:val="32"/>
          <w:szCs w:val="32"/>
          <w:lang w:val="zh-TW"/>
        </w:rPr>
        <w:t>数量不超过</w:t>
      </w:r>
      <w:r>
        <w:rPr>
          <w:rStyle w:val="7"/>
          <w:rFonts w:hint="eastAsia" w:ascii="Times New Roman" w:hAnsi="Times New Roman" w:eastAsia="仿宋_GB2312"/>
          <w:sz w:val="32"/>
          <w:szCs w:val="32"/>
        </w:rPr>
        <w:t>5</w:t>
      </w:r>
      <w:r>
        <w:rPr>
          <w:rStyle w:val="7"/>
          <w:rFonts w:ascii="Times New Roman" w:hAnsi="Times New Roman" w:eastAsia="仿宋_GB2312"/>
          <w:sz w:val="32"/>
          <w:szCs w:val="32"/>
          <w:lang w:val="zh-TW"/>
        </w:rPr>
        <w:t>个，发生面积不超过1</w:t>
      </w:r>
      <w:r>
        <w:rPr>
          <w:rStyle w:val="7"/>
          <w:rFonts w:hint="eastAsia" w:ascii="Times New Roman" w:hAnsi="Times New Roman" w:eastAsia="仿宋_GB2312"/>
          <w:sz w:val="32"/>
          <w:szCs w:val="32"/>
        </w:rPr>
        <w:t>.0503</w:t>
      </w:r>
      <w:r>
        <w:rPr>
          <w:rStyle w:val="7"/>
          <w:rFonts w:ascii="Times New Roman" w:hAnsi="Times New Roman" w:eastAsia="仿宋_GB2312"/>
          <w:sz w:val="32"/>
          <w:szCs w:val="32"/>
          <w:lang w:val="zh-TW"/>
        </w:rPr>
        <w:t>万亩</w:t>
      </w:r>
      <w:r>
        <w:rPr>
          <w:rFonts w:eastAsia="仿宋_GB2312"/>
          <w:sz w:val="32"/>
          <w:szCs w:val="32"/>
        </w:rPr>
        <w:t>。据此，以2020年秋季</w:t>
      </w:r>
      <w:r>
        <w:rPr>
          <w:rFonts w:hint="eastAsia" w:eastAsia="仿宋_GB2312"/>
          <w:sz w:val="32"/>
          <w:szCs w:val="32"/>
        </w:rPr>
        <w:t>疫情</w:t>
      </w:r>
      <w:r>
        <w:rPr>
          <w:rFonts w:eastAsia="仿宋_GB2312"/>
          <w:sz w:val="32"/>
          <w:szCs w:val="32"/>
        </w:rPr>
        <w:t>普查数据为基准，设</w:t>
      </w:r>
      <w:r>
        <w:rPr>
          <w:rFonts w:hint="eastAsia" w:eastAsia="仿宋_GB2312"/>
          <w:sz w:val="32"/>
          <w:szCs w:val="32"/>
        </w:rPr>
        <w:t>定各疫点攻坚行动</w:t>
      </w:r>
      <w:r>
        <w:rPr>
          <w:rFonts w:eastAsia="仿宋_GB2312"/>
          <w:sz w:val="32"/>
          <w:szCs w:val="32"/>
        </w:rPr>
        <w:t>目标</w:t>
      </w:r>
      <w:r>
        <w:rPr>
          <w:rFonts w:hint="eastAsia" w:eastAsia="仿宋_GB2312"/>
          <w:sz w:val="32"/>
          <w:szCs w:val="32"/>
        </w:rPr>
        <w:t>任务（</w:t>
      </w:r>
      <w:r>
        <w:rPr>
          <w:rFonts w:eastAsia="仿宋_GB2312"/>
          <w:sz w:val="32"/>
          <w:szCs w:val="32"/>
        </w:rPr>
        <w:t>详见附表</w:t>
      </w:r>
      <w:r>
        <w:rPr>
          <w:rFonts w:hint="eastAsia" w:eastAsia="仿宋_GB2312"/>
          <w:sz w:val="32"/>
          <w:szCs w:val="32"/>
        </w:rPr>
        <w:t>）</w:t>
      </w:r>
      <w:r>
        <w:rPr>
          <w:rFonts w:eastAsia="仿宋_GB2312"/>
          <w:sz w:val="32"/>
          <w:szCs w:val="32"/>
        </w:rPr>
        <w:t>。</w:t>
      </w:r>
    </w:p>
    <w:p>
      <w:pPr>
        <w:spacing w:line="550" w:lineRule="exact"/>
        <w:ind w:firstLine="720" w:firstLineChars="225"/>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w:t>
      </w:r>
      <w:r>
        <w:rPr>
          <w:rFonts w:hint="eastAsia" w:ascii="黑体" w:hAnsi="黑体" w:eastAsia="黑体" w:cs="黑体"/>
          <w:sz w:val="32"/>
          <w:szCs w:val="32"/>
        </w:rPr>
        <w:t>工作</w:t>
      </w:r>
      <w:r>
        <w:rPr>
          <w:rFonts w:ascii="黑体" w:hAnsi="黑体" w:eastAsia="黑体" w:cs="黑体"/>
          <w:sz w:val="32"/>
          <w:szCs w:val="32"/>
        </w:rPr>
        <w:t>内容</w:t>
      </w:r>
    </w:p>
    <w:p>
      <w:pPr>
        <w:spacing w:line="550" w:lineRule="exact"/>
        <w:ind w:firstLine="643" w:firstLineChars="200"/>
        <w:rPr>
          <w:rFonts w:eastAsia="仿宋_GB2312"/>
          <w:sz w:val="32"/>
          <w:szCs w:val="32"/>
        </w:rPr>
      </w:pPr>
      <w:r>
        <w:rPr>
          <w:rFonts w:hint="eastAsia" w:ascii="楷体_GB2312" w:hAnsi="楷体_GB2312" w:eastAsia="楷体_GB2312" w:cs="楷体_GB2312"/>
          <w:b/>
          <w:bCs/>
          <w:sz w:val="32"/>
          <w:szCs w:val="32"/>
        </w:rPr>
        <w:t>（一）疫情精准监测行动。</w:t>
      </w:r>
      <w:r>
        <w:rPr>
          <w:rFonts w:eastAsia="仿宋_GB2312"/>
          <w:sz w:val="32"/>
          <w:szCs w:val="32"/>
        </w:rPr>
        <w:t>实施人工地面监测与航空遥感监测相结合的</w:t>
      </w:r>
      <w:r>
        <w:rPr>
          <w:rFonts w:hint="eastAsia" w:eastAsia="仿宋_GB2312"/>
          <w:sz w:val="32"/>
          <w:szCs w:val="32"/>
        </w:rPr>
        <w:t>“</w:t>
      </w:r>
      <w:r>
        <w:rPr>
          <w:rFonts w:eastAsia="仿宋_GB2312"/>
          <w:sz w:val="32"/>
          <w:szCs w:val="32"/>
        </w:rPr>
        <w:t>空地</w:t>
      </w:r>
      <w:r>
        <w:rPr>
          <w:rFonts w:hint="eastAsia" w:eastAsia="仿宋_GB2312"/>
          <w:sz w:val="32"/>
          <w:szCs w:val="32"/>
        </w:rPr>
        <w:t>”</w:t>
      </w:r>
      <w:r>
        <w:rPr>
          <w:rFonts w:eastAsia="仿宋_GB2312"/>
          <w:sz w:val="32"/>
          <w:szCs w:val="32"/>
        </w:rPr>
        <w:t>一体化监测行动。严格执行疫情普查与日常监测制度，实行疫情监测网格化管理，统筹护林员</w:t>
      </w:r>
      <w:r>
        <w:rPr>
          <w:rFonts w:hint="eastAsia" w:eastAsia="仿宋_GB2312"/>
          <w:sz w:val="32"/>
          <w:szCs w:val="32"/>
        </w:rPr>
        <w:t>、</w:t>
      </w:r>
      <w:r>
        <w:rPr>
          <w:rFonts w:eastAsia="仿宋_GB2312"/>
          <w:sz w:val="32"/>
          <w:szCs w:val="32"/>
        </w:rPr>
        <w:t>社会化组织、监测检疫机构等力量，开展以小班为单位的精细化疫情监测，做到监测范围全覆盖。推广应用林草生态网络感知系统松材线虫病疫情精细化监管平台，实现从疫情监测到疫木除治的常态化可视化管理，及时准确掌握疫情发生底数和动态，并如实上报。强化疫情信息公开，严格执行新发疫情应急报告制度，加强疫情数据管理，强化疫情信息核实核查。</w:t>
      </w:r>
    </w:p>
    <w:p>
      <w:pPr>
        <w:spacing w:line="550" w:lineRule="exact"/>
        <w:ind w:firstLine="643" w:firstLineChars="200"/>
        <w:rPr>
          <w:rFonts w:eastAsia="仿宋_GB2312"/>
          <w:sz w:val="32"/>
          <w:szCs w:val="32"/>
        </w:rPr>
      </w:pPr>
      <w:r>
        <w:rPr>
          <w:rFonts w:ascii="楷体_GB2312" w:hAnsi="楷体_GB2312" w:eastAsia="楷体_GB2312" w:cs="楷体_GB2312"/>
          <w:b/>
          <w:bCs/>
          <w:sz w:val="32"/>
          <w:szCs w:val="32"/>
        </w:rPr>
        <w:t>（二）疫源封锁管控行动。</w:t>
      </w:r>
      <w:r>
        <w:rPr>
          <w:rFonts w:eastAsia="仿宋_GB2312"/>
          <w:sz w:val="32"/>
          <w:szCs w:val="32"/>
        </w:rPr>
        <w:t>实施全方位、无死角的疫木清零行动，对山场除治、疫木下山运输、无害化处理、安全利用等进行全过程监管，明确责任人，严防疫木流失。山场除治坚持先封后清原则，落实疫情山场管控责任。彻底清理除治迹地、疫木加工企业、农户房前屋后等场所疫木，实现疫木清零。建立疫木清理、转运、无害化处理、粉碎物运输等台</w:t>
      </w:r>
      <w:r>
        <w:rPr>
          <w:rFonts w:hint="eastAsia" w:ascii="仿宋" w:hAnsi="仿宋" w:eastAsia="仿宋" w:cs="仿宋"/>
          <w:sz w:val="32"/>
          <w:szCs w:val="32"/>
        </w:rPr>
        <w:t>账，健全“谁签字谁负责”的责任追溯制度。对辖区内涉木单位和个</w:t>
      </w:r>
      <w:r>
        <w:rPr>
          <w:rFonts w:eastAsia="仿宋_GB2312"/>
          <w:sz w:val="32"/>
          <w:szCs w:val="32"/>
        </w:rPr>
        <w:t>人进行全面登记备案，开展专项执法行动，严厉打击非法采伐、收购、运输、加工、经营、使用疫木及其制品等行为。加大松科植物及其制品复检力度，强化疫情检疫阻截，严防疫情人为传播。组织开展疫情源头追溯，及时查明疫情来源和传播途径。</w:t>
      </w:r>
    </w:p>
    <w:p>
      <w:pPr>
        <w:pStyle w:val="2"/>
        <w:adjustRightInd w:val="0"/>
        <w:snapToGrid w:val="0"/>
        <w:spacing w:line="550" w:lineRule="exact"/>
        <w:ind w:firstLine="643" w:firstLineChars="200"/>
        <w:rPr>
          <w:rFonts w:ascii="Times New Roman" w:hAnsi="Times New Roman" w:eastAsia="仿宋_GB2312"/>
          <w:sz w:val="32"/>
          <w:szCs w:val="32"/>
        </w:rPr>
      </w:pPr>
      <w:r>
        <w:rPr>
          <w:rFonts w:ascii="楷体_GB2312" w:hAnsi="楷体_GB2312" w:cs="楷体_GB2312"/>
          <w:b/>
          <w:bCs/>
          <w:kern w:val="2"/>
          <w:sz w:val="32"/>
          <w:szCs w:val="32"/>
        </w:rPr>
        <w:t>（三）除治质量提升行动。</w:t>
      </w:r>
      <w:r>
        <w:rPr>
          <w:rFonts w:ascii="Times New Roman" w:hAnsi="Times New Roman" w:eastAsia="仿宋_GB2312"/>
          <w:sz w:val="32"/>
          <w:szCs w:val="32"/>
        </w:rPr>
        <w:t>实施以清理病死</w:t>
      </w:r>
      <w:bookmarkStart w:id="0" w:name="_Hlk72221354"/>
      <w:r>
        <w:rPr>
          <w:rFonts w:ascii="Times New Roman" w:hAnsi="Times New Roman" w:eastAsia="仿宋_GB2312"/>
          <w:sz w:val="32"/>
          <w:szCs w:val="32"/>
        </w:rPr>
        <w:t>（濒死、枯死）</w:t>
      </w:r>
      <w:bookmarkEnd w:id="0"/>
      <w:r>
        <w:rPr>
          <w:rFonts w:ascii="Times New Roman" w:hAnsi="Times New Roman" w:eastAsia="仿宋_GB2312"/>
          <w:sz w:val="32"/>
          <w:szCs w:val="32"/>
        </w:rPr>
        <w:t>松树为核心，媒介昆虫防治、打孔注药等为辅助措施的综合防治策略。实施</w:t>
      </w:r>
      <w:r>
        <w:rPr>
          <w:rFonts w:hint="eastAsia" w:ascii="Times New Roman" w:hAnsi="Times New Roman" w:eastAsia="仿宋_GB2312"/>
          <w:sz w:val="32"/>
          <w:szCs w:val="32"/>
        </w:rPr>
        <w:t>“</w:t>
      </w:r>
      <w:r>
        <w:rPr>
          <w:rFonts w:ascii="Times New Roman" w:hAnsi="Times New Roman" w:eastAsia="仿宋_GB2312"/>
          <w:sz w:val="32"/>
          <w:szCs w:val="32"/>
        </w:rPr>
        <w:t>内防扩散、外防输出、全面攻坚</w:t>
      </w:r>
      <w:r>
        <w:rPr>
          <w:rFonts w:hint="eastAsia" w:ascii="Times New Roman" w:hAnsi="Times New Roman" w:eastAsia="仿宋_GB2312"/>
          <w:sz w:val="32"/>
          <w:szCs w:val="32"/>
        </w:rPr>
        <w:t>”</w:t>
      </w:r>
      <w:r>
        <w:rPr>
          <w:rFonts w:ascii="Times New Roman" w:hAnsi="Times New Roman" w:eastAsia="仿宋_GB2312"/>
          <w:sz w:val="32"/>
          <w:szCs w:val="32"/>
        </w:rPr>
        <w:t>策略，疫情连片发生区由外向内逐步压缩，做到防治措施实施到位、跟踪到位、管理到位</w:t>
      </w:r>
      <w:r>
        <w:rPr>
          <w:rFonts w:hint="eastAsia" w:ascii="Times New Roman" w:hAnsi="Times New Roman" w:eastAsia="仿宋_GB2312"/>
          <w:sz w:val="32"/>
          <w:szCs w:val="32"/>
        </w:rPr>
        <w:t>，</w:t>
      </w:r>
      <w:r>
        <w:rPr>
          <w:rFonts w:ascii="Times New Roman" w:hAnsi="Times New Roman" w:eastAsia="仿宋_GB2312"/>
          <w:sz w:val="32"/>
          <w:szCs w:val="32"/>
        </w:rPr>
        <w:t>合理选择防治技术措施，真正做到精准施策。在疫情集中除治期内，严格按照疫木处理能力和监管能力决定疫木采伐进度的要求进行集中除治，随时开展质量检查，并在集中除治期结束之前及时开展</w:t>
      </w:r>
      <w:r>
        <w:rPr>
          <w:rFonts w:hint="eastAsia" w:ascii="Times New Roman" w:hAnsi="Times New Roman" w:eastAsia="仿宋_GB2312"/>
          <w:sz w:val="32"/>
          <w:szCs w:val="32"/>
        </w:rPr>
        <w:t>“</w:t>
      </w:r>
      <w:r>
        <w:rPr>
          <w:rFonts w:ascii="Times New Roman" w:hAnsi="Times New Roman" w:eastAsia="仿宋_GB2312"/>
          <w:sz w:val="32"/>
          <w:szCs w:val="32"/>
        </w:rPr>
        <w:t>回头看</w:t>
      </w:r>
      <w:r>
        <w:rPr>
          <w:rFonts w:hint="eastAsia" w:ascii="Times New Roman" w:hAnsi="Times New Roman" w:eastAsia="仿宋_GB2312"/>
          <w:sz w:val="32"/>
          <w:szCs w:val="32"/>
        </w:rPr>
        <w:t>”</w:t>
      </w:r>
      <w:r>
        <w:rPr>
          <w:rFonts w:ascii="Times New Roman" w:hAnsi="Times New Roman" w:eastAsia="仿宋_GB2312"/>
          <w:sz w:val="32"/>
          <w:szCs w:val="32"/>
        </w:rPr>
        <w:t>行动。在疫情集中除治期外，重点生态区域、有望消灭疫情的地区以及新发疫情应采取应急除治措施的，对零星死亡松树开展</w:t>
      </w:r>
      <w:r>
        <w:rPr>
          <w:rFonts w:hint="eastAsia" w:ascii="Times New Roman" w:hAnsi="Times New Roman" w:eastAsia="仿宋_GB2312"/>
          <w:sz w:val="32"/>
          <w:szCs w:val="32"/>
        </w:rPr>
        <w:t>“</w:t>
      </w:r>
      <w:r>
        <w:rPr>
          <w:rFonts w:ascii="Times New Roman" w:hAnsi="Times New Roman" w:eastAsia="仿宋_GB2312"/>
          <w:sz w:val="32"/>
          <w:szCs w:val="32"/>
        </w:rPr>
        <w:t>即死即清</w:t>
      </w:r>
      <w:r>
        <w:rPr>
          <w:rFonts w:hint="eastAsia" w:ascii="Times New Roman" w:hAnsi="Times New Roman" w:eastAsia="仿宋_GB2312"/>
          <w:sz w:val="32"/>
          <w:szCs w:val="32"/>
        </w:rPr>
        <w:t>”</w:t>
      </w:r>
      <w:r>
        <w:rPr>
          <w:rFonts w:ascii="Times New Roman" w:hAnsi="Times New Roman" w:eastAsia="仿宋_GB2312"/>
          <w:sz w:val="32"/>
          <w:szCs w:val="32"/>
        </w:rPr>
        <w:t>，采伐的松木和超过1厘米的枝桠必须按照当日采伐当日山场就地粉碎（削片）或烧毁的要求进行处置。加强对社会化防治组织的管理，开展防控成效评估。</w:t>
      </w:r>
    </w:p>
    <w:p>
      <w:pPr>
        <w:spacing w:line="550" w:lineRule="exact"/>
        <w:ind w:firstLine="643" w:firstLineChars="200"/>
        <w:rPr>
          <w:rFonts w:eastAsia="仿宋_GB2312"/>
          <w:sz w:val="32"/>
          <w:szCs w:val="32"/>
        </w:rPr>
      </w:pPr>
      <w:r>
        <w:rPr>
          <w:rFonts w:ascii="楷体_GB2312" w:hAnsi="楷体_GB2312" w:eastAsia="楷体_GB2312" w:cs="楷体_GB2312"/>
          <w:b/>
          <w:bCs/>
          <w:sz w:val="32"/>
          <w:szCs w:val="32"/>
        </w:rPr>
        <w:t>（四）健康森林保护行动。</w:t>
      </w:r>
      <w:r>
        <w:rPr>
          <w:rFonts w:eastAsia="仿宋_GB2312"/>
          <w:sz w:val="32"/>
          <w:szCs w:val="32"/>
        </w:rPr>
        <w:t>统筹松材线虫病疫情防控与生态修复，</w:t>
      </w:r>
      <w:r>
        <w:rPr>
          <w:rFonts w:hint="eastAsia" w:eastAsia="仿宋_GB2312"/>
          <w:sz w:val="32"/>
          <w:szCs w:val="32"/>
        </w:rPr>
        <w:t>优先考虑</w:t>
      </w:r>
      <w:r>
        <w:rPr>
          <w:rFonts w:eastAsia="仿宋_GB2312"/>
          <w:sz w:val="32"/>
          <w:szCs w:val="32"/>
        </w:rPr>
        <w:t>将疫情防控纳入森林抚育、低质低效林改造、退化林修复等森林质量精准提升工程。坚持病死（濒死、枯死）松树清理和健康松树保护并重，针对有保护价值的松林制定精细化保护方案，采取打孔注药等方式保护优势木和目标树。加强古树名木和重要地标性景观松树保护，实行</w:t>
      </w:r>
      <w:r>
        <w:rPr>
          <w:rFonts w:hint="eastAsia" w:eastAsia="仿宋_GB2312"/>
          <w:sz w:val="32"/>
          <w:szCs w:val="32"/>
        </w:rPr>
        <w:t>“</w:t>
      </w:r>
      <w:r>
        <w:rPr>
          <w:rFonts w:eastAsia="仿宋_GB2312"/>
          <w:sz w:val="32"/>
          <w:szCs w:val="32"/>
        </w:rPr>
        <w:t>一树一策</w:t>
      </w:r>
      <w:r>
        <w:rPr>
          <w:rFonts w:hint="eastAsia" w:eastAsia="仿宋_GB2312"/>
          <w:sz w:val="32"/>
          <w:szCs w:val="32"/>
        </w:rPr>
        <w:t>”</w:t>
      </w:r>
      <w:r>
        <w:rPr>
          <w:rFonts w:eastAsia="仿宋_GB2312"/>
          <w:sz w:val="32"/>
          <w:szCs w:val="32"/>
        </w:rPr>
        <w:t>。循序渐进、因地制宜开展以择伐为主的人工松林改造，突出目标树经营，科学补植乡土珍贵阔叶树种，营造复层林、异龄林、混交林，打造健康的森林生态系统。</w:t>
      </w:r>
    </w:p>
    <w:p>
      <w:pPr>
        <w:spacing w:line="550" w:lineRule="exact"/>
        <w:ind w:firstLine="720" w:firstLineChars="225"/>
        <w:rPr>
          <w:rFonts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w:t>
      </w:r>
      <w:r>
        <w:rPr>
          <w:rFonts w:hint="eastAsia" w:ascii="黑体" w:hAnsi="黑体" w:eastAsia="黑体" w:cs="黑体"/>
          <w:sz w:val="32"/>
          <w:szCs w:val="32"/>
        </w:rPr>
        <w:t>组织</w:t>
      </w:r>
      <w:r>
        <w:rPr>
          <w:rFonts w:ascii="黑体" w:hAnsi="黑体" w:eastAsia="黑体" w:cs="黑体"/>
          <w:sz w:val="32"/>
          <w:szCs w:val="32"/>
        </w:rPr>
        <w:t>保障</w:t>
      </w:r>
    </w:p>
    <w:p>
      <w:pPr>
        <w:spacing w:line="550" w:lineRule="exact"/>
        <w:ind w:firstLine="643" w:firstLineChars="200"/>
        <w:rPr>
          <w:rFonts w:eastAsia="仿宋_GB2312"/>
          <w:sz w:val="32"/>
          <w:szCs w:val="32"/>
        </w:rPr>
      </w:pPr>
      <w:r>
        <w:rPr>
          <w:rFonts w:ascii="楷体_GB2312" w:hAnsi="楷体_GB2312" w:eastAsia="楷体_GB2312" w:cs="楷体_GB2312"/>
          <w:b/>
          <w:bCs/>
          <w:sz w:val="32"/>
          <w:szCs w:val="32"/>
        </w:rPr>
        <w:t>（一）加强组织领导。</w:t>
      </w:r>
      <w:r>
        <w:rPr>
          <w:rFonts w:eastAsia="仿宋_GB2312"/>
          <w:sz w:val="32"/>
          <w:szCs w:val="32"/>
        </w:rPr>
        <w:t>建立以林长制为核心的疫情防控责任制度，按照</w:t>
      </w:r>
      <w:r>
        <w:rPr>
          <w:rFonts w:hint="eastAsia" w:eastAsia="仿宋_GB2312"/>
          <w:sz w:val="32"/>
          <w:szCs w:val="32"/>
        </w:rPr>
        <w:t>“</w:t>
      </w:r>
      <w:r>
        <w:rPr>
          <w:rFonts w:eastAsia="仿宋_GB2312"/>
          <w:sz w:val="32"/>
          <w:szCs w:val="32"/>
        </w:rPr>
        <w:t>党委领导、党政同责、部门协同、属地负责</w:t>
      </w:r>
      <w:r>
        <w:rPr>
          <w:rFonts w:hint="eastAsia" w:eastAsia="仿宋_GB2312"/>
          <w:sz w:val="32"/>
          <w:szCs w:val="32"/>
        </w:rPr>
        <w:t>”</w:t>
      </w:r>
      <w:r>
        <w:rPr>
          <w:rFonts w:eastAsia="仿宋_GB2312"/>
          <w:sz w:val="32"/>
          <w:szCs w:val="32"/>
        </w:rPr>
        <w:t>的要求，系统安排部署攻坚行动，狠抓责任落实，全面推动实施，确保完成各项目标任务。完善部门间协调联动机制，形成各负其责、齐抓共管的防控格局。</w:t>
      </w:r>
      <w:r>
        <w:rPr>
          <w:rFonts w:hint="eastAsia" w:eastAsia="仿宋_GB2312"/>
          <w:sz w:val="32"/>
          <w:szCs w:val="32"/>
        </w:rPr>
        <w:t>结合林长制实施，建立健全</w:t>
      </w:r>
      <w:r>
        <w:rPr>
          <w:rFonts w:eastAsia="仿宋_GB2312"/>
          <w:sz w:val="32"/>
          <w:szCs w:val="32"/>
        </w:rPr>
        <w:t>市、</w:t>
      </w:r>
      <w:r>
        <w:rPr>
          <w:rFonts w:hint="eastAsia" w:eastAsia="仿宋_GB2312"/>
          <w:sz w:val="32"/>
          <w:szCs w:val="32"/>
        </w:rPr>
        <w:t>乡</w:t>
      </w:r>
      <w:r>
        <w:rPr>
          <w:rFonts w:eastAsia="仿宋_GB2312"/>
          <w:sz w:val="32"/>
          <w:szCs w:val="32"/>
        </w:rPr>
        <w:t>镇</w:t>
      </w:r>
      <w:r>
        <w:rPr>
          <w:rFonts w:hint="eastAsia" w:eastAsia="仿宋_GB2312"/>
          <w:sz w:val="32"/>
          <w:szCs w:val="32"/>
        </w:rPr>
        <w:t>（街道）、村的</w:t>
      </w:r>
      <w:r>
        <w:rPr>
          <w:rFonts w:eastAsia="仿宋_GB2312"/>
          <w:sz w:val="32"/>
          <w:szCs w:val="32"/>
        </w:rPr>
        <w:t>多层次联防联控机制，切实提高防控能力和成效。</w:t>
      </w:r>
    </w:p>
    <w:p>
      <w:pPr>
        <w:spacing w:line="550" w:lineRule="exact"/>
        <w:ind w:firstLine="643" w:firstLineChars="200"/>
        <w:rPr>
          <w:rFonts w:eastAsia="仿宋_GB2312"/>
          <w:sz w:val="32"/>
          <w:szCs w:val="32"/>
        </w:rPr>
      </w:pPr>
      <w:r>
        <w:rPr>
          <w:rFonts w:ascii="楷体_GB2312" w:hAnsi="楷体_GB2312" w:eastAsia="楷体_GB2312" w:cs="楷体_GB2312"/>
          <w:b/>
          <w:bCs/>
          <w:sz w:val="32"/>
          <w:szCs w:val="32"/>
        </w:rPr>
        <w:t>（二）强化科技支撑。</w:t>
      </w:r>
      <w:r>
        <w:rPr>
          <w:rFonts w:eastAsia="仿宋_GB2312"/>
          <w:sz w:val="32"/>
          <w:szCs w:val="32"/>
        </w:rPr>
        <w:t>坚持科技创新和制度创新</w:t>
      </w:r>
      <w:r>
        <w:rPr>
          <w:rFonts w:hint="eastAsia" w:eastAsia="仿宋_GB2312"/>
          <w:sz w:val="32"/>
          <w:szCs w:val="32"/>
        </w:rPr>
        <w:t>“</w:t>
      </w:r>
      <w:r>
        <w:rPr>
          <w:rFonts w:eastAsia="仿宋_GB2312"/>
          <w:sz w:val="32"/>
          <w:szCs w:val="32"/>
        </w:rPr>
        <w:t>双轮驱动</w:t>
      </w:r>
      <w:r>
        <w:rPr>
          <w:rFonts w:hint="eastAsia" w:eastAsia="仿宋_GB2312"/>
          <w:sz w:val="32"/>
          <w:szCs w:val="32"/>
        </w:rPr>
        <w:t>”</w:t>
      </w:r>
      <w:r>
        <w:rPr>
          <w:rFonts w:eastAsia="仿宋_GB2312"/>
          <w:sz w:val="32"/>
          <w:szCs w:val="32"/>
        </w:rPr>
        <w:t>，组织开展林业有害生物</w:t>
      </w:r>
      <w:r>
        <w:rPr>
          <w:rFonts w:hint="eastAsia" w:eastAsia="仿宋_GB2312"/>
          <w:sz w:val="32"/>
          <w:szCs w:val="32"/>
        </w:rPr>
        <w:t>调查和</w:t>
      </w:r>
      <w:r>
        <w:rPr>
          <w:rFonts w:eastAsia="仿宋_GB2312"/>
          <w:sz w:val="32"/>
          <w:szCs w:val="32"/>
        </w:rPr>
        <w:t>防控</w:t>
      </w:r>
      <w:r>
        <w:rPr>
          <w:rFonts w:hint="eastAsia" w:eastAsia="仿宋_GB2312"/>
          <w:sz w:val="32"/>
          <w:szCs w:val="32"/>
        </w:rPr>
        <w:t>等</w:t>
      </w:r>
      <w:r>
        <w:rPr>
          <w:rFonts w:eastAsia="仿宋_GB2312"/>
          <w:sz w:val="32"/>
          <w:szCs w:val="32"/>
        </w:rPr>
        <w:t>基础研究、</w:t>
      </w:r>
      <w:r>
        <w:rPr>
          <w:rFonts w:hint="eastAsia" w:eastAsia="仿宋_GB2312"/>
          <w:sz w:val="32"/>
          <w:szCs w:val="32"/>
        </w:rPr>
        <w:t>专业防控</w:t>
      </w:r>
      <w:r>
        <w:rPr>
          <w:rFonts w:eastAsia="仿宋_GB2312"/>
          <w:sz w:val="32"/>
          <w:szCs w:val="32"/>
        </w:rPr>
        <w:t>技术</w:t>
      </w:r>
      <w:r>
        <w:rPr>
          <w:rFonts w:hint="eastAsia" w:eastAsia="仿宋_GB2312"/>
          <w:sz w:val="32"/>
          <w:szCs w:val="32"/>
        </w:rPr>
        <w:t>指导</w:t>
      </w:r>
      <w:r>
        <w:rPr>
          <w:rFonts w:eastAsia="仿宋_GB2312"/>
          <w:sz w:val="32"/>
          <w:szCs w:val="32"/>
        </w:rPr>
        <w:t>，着力解决疫情传播规律、成灾主因分析、灾害早期识别、快速检验鉴定、准确测报、精准施药、生物防治等防治技术难题。加强现有技术的组装配套，加速实用技术的推广普及，</w:t>
      </w:r>
      <w:r>
        <w:rPr>
          <w:rFonts w:hint="eastAsia" w:eastAsia="仿宋_GB2312"/>
          <w:sz w:val="32"/>
          <w:szCs w:val="32"/>
        </w:rPr>
        <w:t>组织开展</w:t>
      </w:r>
      <w:r>
        <w:rPr>
          <w:rFonts w:eastAsia="仿宋_GB2312"/>
          <w:sz w:val="32"/>
          <w:szCs w:val="32"/>
        </w:rPr>
        <w:t>林业有害生物防控新知识、新技术的培训</w:t>
      </w:r>
      <w:r>
        <w:rPr>
          <w:rFonts w:hint="eastAsia" w:eastAsia="仿宋_GB2312"/>
          <w:sz w:val="32"/>
          <w:szCs w:val="32"/>
        </w:rPr>
        <w:t>，</w:t>
      </w:r>
      <w:r>
        <w:rPr>
          <w:rFonts w:eastAsia="仿宋_GB2312"/>
          <w:sz w:val="32"/>
          <w:szCs w:val="32"/>
        </w:rPr>
        <w:t>学习借鉴国内外先进技术和防控理念，有重点有选择地引进先进技术。深化防控体制机制改革，不断推进松材线虫病灾害治理体系现代化。</w:t>
      </w:r>
    </w:p>
    <w:p>
      <w:pPr>
        <w:spacing w:line="550" w:lineRule="exact"/>
        <w:ind w:firstLine="643" w:firstLineChars="200"/>
        <w:rPr>
          <w:rFonts w:eastAsia="仿宋_GB2312"/>
          <w:sz w:val="32"/>
          <w:szCs w:val="32"/>
        </w:rPr>
      </w:pPr>
      <w:r>
        <w:rPr>
          <w:rFonts w:ascii="楷体_GB2312" w:hAnsi="楷体_GB2312" w:eastAsia="楷体_GB2312" w:cs="楷体_GB2312"/>
          <w:b/>
          <w:bCs/>
          <w:sz w:val="32"/>
          <w:szCs w:val="32"/>
        </w:rPr>
        <w:t>（三）加大资金投入。</w:t>
      </w:r>
      <w:r>
        <w:rPr>
          <w:rFonts w:hint="eastAsia" w:eastAsia="仿宋_GB2312"/>
          <w:sz w:val="32"/>
          <w:szCs w:val="32"/>
        </w:rPr>
        <w:t>贯彻落实国家、省、市等相关林业发展规划，按照</w:t>
      </w:r>
      <w:r>
        <w:rPr>
          <w:rFonts w:eastAsia="仿宋_GB2312"/>
          <w:sz w:val="32"/>
          <w:szCs w:val="32"/>
        </w:rPr>
        <w:t>林业有害生物防</w:t>
      </w:r>
      <w:r>
        <w:rPr>
          <w:rFonts w:hint="eastAsia" w:eastAsia="仿宋_GB2312"/>
          <w:sz w:val="32"/>
          <w:szCs w:val="32"/>
        </w:rPr>
        <w:t>控</w:t>
      </w:r>
      <w:r>
        <w:rPr>
          <w:rFonts w:eastAsia="仿宋_GB2312"/>
          <w:sz w:val="32"/>
          <w:szCs w:val="32"/>
        </w:rPr>
        <w:t>工作要求</w:t>
      </w:r>
      <w:r>
        <w:rPr>
          <w:rFonts w:hint="eastAsia" w:eastAsia="仿宋_GB2312"/>
          <w:sz w:val="32"/>
          <w:szCs w:val="32"/>
        </w:rPr>
        <w:t>，</w:t>
      </w:r>
      <w:r>
        <w:rPr>
          <w:rFonts w:eastAsia="仿宋_GB2312"/>
          <w:sz w:val="32"/>
          <w:szCs w:val="32"/>
        </w:rPr>
        <w:t>加大资金投入，保障</w:t>
      </w:r>
      <w:r>
        <w:rPr>
          <w:rFonts w:hint="eastAsia" w:eastAsia="仿宋_GB2312"/>
          <w:sz w:val="32"/>
          <w:szCs w:val="32"/>
        </w:rPr>
        <w:t>林业有害生物</w:t>
      </w:r>
      <w:r>
        <w:rPr>
          <w:rFonts w:eastAsia="仿宋_GB2312"/>
          <w:sz w:val="32"/>
          <w:szCs w:val="32"/>
        </w:rPr>
        <w:t>防控工作顺利开展</w:t>
      </w:r>
      <w:r>
        <w:rPr>
          <w:rFonts w:hint="eastAsia" w:eastAsia="仿宋_GB2312"/>
          <w:sz w:val="32"/>
          <w:szCs w:val="32"/>
        </w:rPr>
        <w:t>。</w:t>
      </w:r>
      <w:r>
        <w:rPr>
          <w:rFonts w:eastAsia="仿宋_GB2312"/>
          <w:sz w:val="32"/>
          <w:szCs w:val="32"/>
        </w:rPr>
        <w:t>用好</w:t>
      </w:r>
      <w:r>
        <w:rPr>
          <w:rFonts w:hint="eastAsia" w:eastAsia="仿宋_GB2312"/>
          <w:sz w:val="32"/>
          <w:szCs w:val="32"/>
        </w:rPr>
        <w:t>用足各级</w:t>
      </w:r>
      <w:r>
        <w:rPr>
          <w:rFonts w:eastAsia="仿宋_GB2312"/>
          <w:sz w:val="32"/>
          <w:szCs w:val="32"/>
        </w:rPr>
        <w:t>财政林业有害生物防</w:t>
      </w:r>
      <w:r>
        <w:rPr>
          <w:rFonts w:hint="eastAsia" w:eastAsia="仿宋_GB2312"/>
          <w:sz w:val="32"/>
          <w:szCs w:val="32"/>
        </w:rPr>
        <w:t>控等相关</w:t>
      </w:r>
      <w:r>
        <w:rPr>
          <w:rFonts w:eastAsia="仿宋_GB2312"/>
          <w:sz w:val="32"/>
          <w:szCs w:val="32"/>
        </w:rPr>
        <w:t>补助资金</w:t>
      </w:r>
      <w:r>
        <w:rPr>
          <w:rFonts w:hint="eastAsia" w:eastAsia="仿宋_GB2312"/>
          <w:sz w:val="32"/>
          <w:szCs w:val="32"/>
        </w:rPr>
        <w:t>，全力</w:t>
      </w:r>
      <w:r>
        <w:rPr>
          <w:rFonts w:eastAsia="仿宋_GB2312"/>
          <w:sz w:val="32"/>
          <w:szCs w:val="32"/>
        </w:rPr>
        <w:t>控制压缩疫情。加强资金使用监管，开展疫情防控资金使用绩效评价，确保疫情防控资金使用安全高效。</w:t>
      </w:r>
    </w:p>
    <w:p>
      <w:pPr>
        <w:spacing w:line="550" w:lineRule="exact"/>
        <w:ind w:firstLine="643" w:firstLineChars="200"/>
        <w:rPr>
          <w:rFonts w:eastAsia="仿宋_GB2312"/>
          <w:sz w:val="32"/>
          <w:szCs w:val="32"/>
        </w:rPr>
      </w:pPr>
      <w:r>
        <w:rPr>
          <w:rFonts w:ascii="楷体_GB2312" w:hAnsi="楷体_GB2312" w:eastAsia="楷体_GB2312" w:cs="楷体_GB2312"/>
          <w:b/>
          <w:bCs/>
          <w:sz w:val="32"/>
          <w:szCs w:val="32"/>
        </w:rPr>
        <w:t>（四）强化群防群控。</w:t>
      </w:r>
      <w:r>
        <w:rPr>
          <w:rFonts w:eastAsia="仿宋_GB2312"/>
          <w:sz w:val="32"/>
          <w:szCs w:val="32"/>
        </w:rPr>
        <w:t>开展疫情防控政策法规、防控知识等宣传普及，通过在疫区交通要道、村头路口、除治山场等醒目位置设立宣传标牌，</w:t>
      </w:r>
      <w:r>
        <w:rPr>
          <w:rFonts w:hint="eastAsia" w:eastAsia="仿宋_GB2312"/>
          <w:sz w:val="32"/>
          <w:szCs w:val="32"/>
        </w:rPr>
        <w:t>组织涉木</w:t>
      </w:r>
      <w:r>
        <w:rPr>
          <w:rFonts w:eastAsia="仿宋_GB2312"/>
          <w:sz w:val="32"/>
          <w:szCs w:val="32"/>
        </w:rPr>
        <w:t>企业（单位、个人）</w:t>
      </w:r>
      <w:r>
        <w:rPr>
          <w:rFonts w:hint="eastAsia" w:eastAsia="仿宋_GB2312"/>
          <w:sz w:val="32"/>
          <w:szCs w:val="32"/>
        </w:rPr>
        <w:t>参加相关政策及法律法规培训，</w:t>
      </w:r>
      <w:r>
        <w:rPr>
          <w:rFonts w:eastAsia="仿宋_GB2312"/>
          <w:sz w:val="32"/>
          <w:szCs w:val="32"/>
        </w:rPr>
        <w:t>与</w:t>
      </w:r>
      <w:r>
        <w:rPr>
          <w:rFonts w:hint="eastAsia" w:eastAsia="仿宋_GB2312"/>
          <w:sz w:val="32"/>
          <w:szCs w:val="32"/>
        </w:rPr>
        <w:t>其</w:t>
      </w:r>
      <w:r>
        <w:rPr>
          <w:rFonts w:eastAsia="仿宋_GB2312"/>
          <w:sz w:val="32"/>
          <w:szCs w:val="32"/>
        </w:rPr>
        <w:t>签订知情承诺书，印发宣传</w:t>
      </w:r>
      <w:r>
        <w:rPr>
          <w:rFonts w:hint="eastAsia" w:eastAsia="仿宋_GB2312"/>
          <w:sz w:val="32"/>
          <w:szCs w:val="32"/>
        </w:rPr>
        <w:t>资料</w:t>
      </w:r>
      <w:r>
        <w:rPr>
          <w:rFonts w:eastAsia="仿宋_GB2312"/>
          <w:sz w:val="32"/>
          <w:szCs w:val="32"/>
        </w:rPr>
        <w:t>等措施，积极引导全社会理解、支持和参与松材线虫病疫情防控工作，努力营造群防群控的良好氛围。通过广泛宣传，让疫情防控知识进村入户，让抵制收集、存放、使用疫木及其制品等成为自觉行为。鼓励群众多种渠道报告疫情、举报涉疫违法行为。</w:t>
      </w:r>
    </w:p>
    <w:p>
      <w:pPr>
        <w:spacing w:line="550" w:lineRule="exact"/>
        <w:ind w:firstLine="720" w:firstLineChars="225"/>
        <w:rPr>
          <w:rFonts w:ascii="黑体" w:hAnsi="黑体" w:eastAsia="黑体" w:cs="黑体"/>
          <w:sz w:val="32"/>
          <w:szCs w:val="32"/>
        </w:rPr>
      </w:pPr>
      <w:r>
        <w:rPr>
          <w:rFonts w:hint="eastAsia" w:ascii="黑体" w:hAnsi="黑体" w:eastAsia="黑体" w:cs="黑体"/>
          <w:sz w:val="32"/>
          <w:szCs w:val="32"/>
        </w:rPr>
        <w:t>五</w:t>
      </w:r>
      <w:r>
        <w:rPr>
          <w:rFonts w:ascii="黑体" w:hAnsi="黑体" w:eastAsia="黑体" w:cs="黑体"/>
          <w:sz w:val="32"/>
          <w:szCs w:val="32"/>
        </w:rPr>
        <w:t>、评估考核</w:t>
      </w:r>
    </w:p>
    <w:p>
      <w:pPr>
        <w:spacing w:line="550" w:lineRule="exact"/>
        <w:ind w:firstLine="643" w:firstLineChars="200"/>
        <w:rPr>
          <w:rFonts w:eastAsia="仿宋_GB2312"/>
          <w:sz w:val="32"/>
          <w:szCs w:val="32"/>
        </w:rPr>
      </w:pPr>
      <w:r>
        <w:rPr>
          <w:rFonts w:ascii="楷体_GB2312" w:hAnsi="楷体_GB2312" w:eastAsia="楷体_GB2312" w:cs="楷体_GB2312"/>
          <w:b/>
          <w:bCs/>
          <w:sz w:val="32"/>
          <w:szCs w:val="32"/>
        </w:rPr>
        <w:t>（一）制定行动方案。</w:t>
      </w:r>
      <w:r>
        <w:rPr>
          <w:rFonts w:hint="eastAsia" w:eastAsia="仿宋_GB2312"/>
          <w:sz w:val="32"/>
          <w:szCs w:val="32"/>
        </w:rPr>
        <w:t>各镇（街道）要充分认识本次行动的重要意义，全面落实</w:t>
      </w:r>
      <w:r>
        <w:rPr>
          <w:rFonts w:eastAsia="仿宋_GB2312"/>
          <w:sz w:val="32"/>
          <w:szCs w:val="32"/>
        </w:rPr>
        <w:t>五年攻坚行动方案，</w:t>
      </w:r>
      <w:r>
        <w:rPr>
          <w:rFonts w:hint="eastAsia" w:eastAsia="仿宋_GB2312"/>
          <w:sz w:val="32"/>
          <w:szCs w:val="32"/>
        </w:rPr>
        <w:t>结合林长制</w:t>
      </w:r>
      <w:r>
        <w:rPr>
          <w:rFonts w:eastAsia="仿宋_GB2312"/>
          <w:sz w:val="32"/>
          <w:szCs w:val="32"/>
        </w:rPr>
        <w:t>细化分解任务。</w:t>
      </w:r>
    </w:p>
    <w:p>
      <w:pPr>
        <w:spacing w:line="550" w:lineRule="exact"/>
        <w:ind w:firstLine="643" w:firstLineChars="200"/>
        <w:rPr>
          <w:rFonts w:eastAsia="仿宋_GB2312"/>
          <w:sz w:val="32"/>
          <w:szCs w:val="32"/>
        </w:rPr>
      </w:pPr>
      <w:r>
        <w:rPr>
          <w:rFonts w:ascii="楷体_GB2312" w:hAnsi="楷体_GB2312" w:eastAsia="楷体_GB2312" w:cs="楷体_GB2312"/>
          <w:b/>
          <w:bCs/>
          <w:sz w:val="32"/>
          <w:szCs w:val="32"/>
        </w:rPr>
        <w:t>（二）严格过程监管。</w:t>
      </w:r>
      <w:r>
        <w:rPr>
          <w:rFonts w:hint="eastAsia" w:eastAsia="仿宋_GB2312"/>
          <w:sz w:val="32"/>
          <w:szCs w:val="32"/>
        </w:rPr>
        <w:t>各疫点</w:t>
      </w:r>
      <w:r>
        <w:rPr>
          <w:rFonts w:eastAsia="仿宋_GB2312"/>
          <w:sz w:val="32"/>
          <w:szCs w:val="32"/>
        </w:rPr>
        <w:t>要采取督查检查、包片蹲点、明查暗访等措施，对疫情监测、检疫封锁、山场除治、疫木处理等关键环节进行</w:t>
      </w:r>
      <w:r>
        <w:rPr>
          <w:rFonts w:hint="eastAsia" w:eastAsia="仿宋_GB2312"/>
          <w:sz w:val="32"/>
          <w:szCs w:val="32"/>
        </w:rPr>
        <w:t>过程</w:t>
      </w:r>
      <w:r>
        <w:rPr>
          <w:rFonts w:eastAsia="仿宋_GB2312"/>
          <w:sz w:val="32"/>
          <w:szCs w:val="32"/>
        </w:rPr>
        <w:t>监管，并强化督查检查评估考核结果运用。</w:t>
      </w:r>
    </w:p>
    <w:p>
      <w:pPr>
        <w:spacing w:line="550" w:lineRule="exact"/>
        <w:ind w:firstLine="643" w:firstLineChars="200"/>
        <w:rPr>
          <w:rFonts w:eastAsia="仿宋_GB2312"/>
          <w:sz w:val="32"/>
          <w:szCs w:val="32"/>
        </w:rPr>
      </w:pPr>
      <w:r>
        <w:rPr>
          <w:rFonts w:ascii="楷体_GB2312" w:hAnsi="楷体_GB2312" w:eastAsia="楷体_GB2312" w:cs="楷体_GB2312"/>
          <w:b/>
          <w:bCs/>
          <w:sz w:val="32"/>
          <w:szCs w:val="32"/>
        </w:rPr>
        <w:t>（三）做好中期评估。</w:t>
      </w:r>
      <w:r>
        <w:rPr>
          <w:rFonts w:hint="eastAsia" w:eastAsia="仿宋_GB2312"/>
          <w:sz w:val="32"/>
          <w:szCs w:val="32"/>
        </w:rPr>
        <w:t>各镇（街道）</w:t>
      </w:r>
      <w:r>
        <w:rPr>
          <w:rFonts w:eastAsia="仿宋_GB2312"/>
          <w:sz w:val="32"/>
          <w:szCs w:val="32"/>
        </w:rPr>
        <w:t>要切实抓好五年攻坚行动各项任务的落实，</w:t>
      </w:r>
      <w:r>
        <w:rPr>
          <w:rFonts w:hint="eastAsia" w:eastAsia="仿宋_GB2312"/>
          <w:sz w:val="32"/>
          <w:szCs w:val="32"/>
        </w:rPr>
        <w:t>省、市</w:t>
      </w:r>
      <w:r>
        <w:rPr>
          <w:rFonts w:eastAsia="仿宋_GB2312"/>
          <w:sz w:val="32"/>
          <w:szCs w:val="32"/>
        </w:rPr>
        <w:t>局将在每年疫情集中除治结束后组织开展年度攻坚情况检查并进行通报</w:t>
      </w:r>
      <w:r>
        <w:rPr>
          <w:rFonts w:hint="eastAsia" w:eastAsia="仿宋_GB2312"/>
          <w:sz w:val="32"/>
          <w:szCs w:val="32"/>
        </w:rPr>
        <w:t>。我局在</w:t>
      </w:r>
      <w:r>
        <w:rPr>
          <w:rFonts w:eastAsia="仿宋_GB2312"/>
          <w:sz w:val="32"/>
          <w:szCs w:val="32"/>
        </w:rPr>
        <w:t>2023年</w:t>
      </w:r>
      <w:r>
        <w:rPr>
          <w:rFonts w:hint="eastAsia" w:eastAsia="仿宋_GB2312"/>
          <w:sz w:val="32"/>
          <w:szCs w:val="32"/>
        </w:rPr>
        <w:t>11月</w:t>
      </w:r>
      <w:r>
        <w:rPr>
          <w:rFonts w:eastAsia="仿宋_GB2312"/>
          <w:sz w:val="32"/>
          <w:szCs w:val="32"/>
        </w:rPr>
        <w:t>底</w:t>
      </w:r>
      <w:r>
        <w:rPr>
          <w:rFonts w:hint="eastAsia" w:eastAsia="仿宋_GB2312"/>
          <w:sz w:val="32"/>
          <w:szCs w:val="32"/>
        </w:rPr>
        <w:t>对攻坚行动进行中期</w:t>
      </w:r>
      <w:r>
        <w:rPr>
          <w:rFonts w:eastAsia="仿宋_GB2312"/>
          <w:sz w:val="32"/>
          <w:szCs w:val="32"/>
        </w:rPr>
        <w:t>评估</w:t>
      </w:r>
      <w:r>
        <w:rPr>
          <w:rFonts w:hint="eastAsia" w:eastAsia="仿宋_GB2312"/>
          <w:sz w:val="32"/>
          <w:szCs w:val="32"/>
        </w:rPr>
        <w:t>，市局将组织对我市自评估结果进行检查，省局将根据上报结果组织开展中期评估。</w:t>
      </w:r>
    </w:p>
    <w:p>
      <w:pPr>
        <w:spacing w:line="550" w:lineRule="exact"/>
        <w:ind w:firstLine="643" w:firstLineChars="200"/>
        <w:rPr>
          <w:rFonts w:eastAsia="仿宋_GB2312"/>
          <w:sz w:val="32"/>
          <w:szCs w:val="32"/>
        </w:rPr>
      </w:pPr>
      <w:r>
        <w:rPr>
          <w:rFonts w:ascii="楷体_GB2312" w:hAnsi="楷体_GB2312" w:eastAsia="楷体_GB2312" w:cs="楷体_GB2312"/>
          <w:b/>
          <w:bCs/>
          <w:sz w:val="32"/>
          <w:szCs w:val="32"/>
        </w:rPr>
        <w:t>（四）开展督导考核。</w:t>
      </w:r>
      <w:r>
        <w:rPr>
          <w:rFonts w:eastAsia="仿宋_GB2312"/>
          <w:sz w:val="32"/>
          <w:szCs w:val="32"/>
        </w:rPr>
        <w:t>五年攻坚行动结束后，</w:t>
      </w:r>
      <w:r>
        <w:rPr>
          <w:rFonts w:hint="eastAsia" w:eastAsia="仿宋_GB2312"/>
          <w:sz w:val="32"/>
          <w:szCs w:val="32"/>
        </w:rPr>
        <w:t>我局对</w:t>
      </w:r>
      <w:r>
        <w:rPr>
          <w:rFonts w:eastAsia="仿宋_GB2312"/>
          <w:sz w:val="32"/>
          <w:szCs w:val="32"/>
        </w:rPr>
        <w:t>目标任务完成情况进行自查，</w:t>
      </w:r>
      <w:r>
        <w:rPr>
          <w:rFonts w:hint="eastAsia" w:eastAsia="仿宋_GB2312"/>
          <w:sz w:val="32"/>
          <w:szCs w:val="32"/>
        </w:rPr>
        <w:t>市</w:t>
      </w:r>
      <w:r>
        <w:rPr>
          <w:rFonts w:eastAsia="仿宋_GB2312"/>
          <w:sz w:val="32"/>
          <w:szCs w:val="32"/>
        </w:rPr>
        <w:t>局将对</w:t>
      </w:r>
      <w:r>
        <w:rPr>
          <w:rFonts w:hint="eastAsia" w:eastAsia="仿宋_GB2312"/>
          <w:sz w:val="32"/>
          <w:szCs w:val="32"/>
        </w:rPr>
        <w:t>各地防控情况</w:t>
      </w:r>
      <w:r>
        <w:rPr>
          <w:rFonts w:eastAsia="仿宋_GB2312"/>
          <w:sz w:val="32"/>
          <w:szCs w:val="32"/>
        </w:rPr>
        <w:t>进行考核</w:t>
      </w:r>
      <w:r>
        <w:rPr>
          <w:rFonts w:hint="eastAsia" w:eastAsia="仿宋_GB2312"/>
          <w:sz w:val="32"/>
          <w:szCs w:val="32"/>
        </w:rPr>
        <w:t>，省局将对分市目标进行考核。</w:t>
      </w:r>
    </w:p>
    <w:p>
      <w:pPr>
        <w:spacing w:line="550" w:lineRule="exact"/>
        <w:jc w:val="left"/>
        <w:rPr>
          <w:rFonts w:eastAsia="仿宋_GB2312"/>
          <w:spacing w:val="6"/>
          <w:sz w:val="32"/>
          <w:szCs w:val="32"/>
        </w:rPr>
        <w:sectPr>
          <w:footerReference r:id="rId3" w:type="default"/>
          <w:pgSz w:w="11906" w:h="16838"/>
          <w:pgMar w:top="2098" w:right="1417" w:bottom="2098" w:left="1417" w:header="851" w:footer="992" w:gutter="0"/>
          <w:pgNumType w:fmt="numberInDash"/>
          <w:cols w:space="720" w:num="1"/>
          <w:docGrid w:linePitch="579" w:charSpace="0"/>
        </w:sectPr>
      </w:pPr>
    </w:p>
    <w:p>
      <w:pPr>
        <w:snapToGrid w:val="0"/>
        <w:spacing w:line="560" w:lineRule="exact"/>
        <w:jc w:val="left"/>
        <w:rPr>
          <w:rFonts w:eastAsia="仿宋_GB2312"/>
          <w:bCs/>
          <w:kern w:val="0"/>
          <w:sz w:val="32"/>
          <w:szCs w:val="32"/>
        </w:rPr>
      </w:pPr>
      <w:r>
        <w:rPr>
          <w:rFonts w:eastAsia="仿宋_GB2312"/>
          <w:spacing w:val="6"/>
          <w:sz w:val="32"/>
          <w:szCs w:val="32"/>
        </w:rPr>
        <w:t>附表</w:t>
      </w:r>
      <w:r>
        <w:rPr>
          <w:rFonts w:hint="eastAsia" w:eastAsia="仿宋_GB2312"/>
          <w:spacing w:val="6"/>
          <w:sz w:val="32"/>
          <w:szCs w:val="32"/>
        </w:rPr>
        <w:t>:</w:t>
      </w:r>
    </w:p>
    <w:p>
      <w:pPr>
        <w:snapToGrid w:val="0"/>
        <w:spacing w:before="120" w:beforeLines="50" w:after="120" w:afterLines="50" w:line="560" w:lineRule="exact"/>
        <w:jc w:val="center"/>
        <w:rPr>
          <w:rFonts w:hint="eastAsia" w:ascii="方正小标宋_GBK" w:hAnsi="宋体" w:eastAsia="方正小标宋_GBK" w:cs="宋体"/>
          <w:bCs/>
          <w:sz w:val="44"/>
          <w:szCs w:val="44"/>
        </w:rPr>
      </w:pPr>
      <w:r>
        <w:rPr>
          <w:rFonts w:hint="eastAsia" w:ascii="方正小标宋_GBK" w:hAnsi="宋体" w:eastAsia="方正小标宋_GBK" w:cs="宋体"/>
          <w:bCs/>
          <w:sz w:val="44"/>
          <w:szCs w:val="44"/>
        </w:rPr>
        <w:t>溧阳市松材线虫病疫情防控五年攻坚行动目标表</w:t>
      </w:r>
    </w:p>
    <w:p>
      <w:pPr>
        <w:snapToGrid w:val="0"/>
        <w:spacing w:before="120" w:beforeLines="50" w:after="120" w:afterLines="50" w:line="560" w:lineRule="exact"/>
        <w:jc w:val="center"/>
        <w:rPr>
          <w:rFonts w:hint="eastAsia" w:ascii="方正小标宋_GBK" w:hAnsi="宋体" w:eastAsia="方正小标宋_GBK" w:cs="宋体"/>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57"/>
        <w:gridCol w:w="3888"/>
        <w:gridCol w:w="3780"/>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3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序号</w:t>
            </w:r>
          </w:p>
        </w:tc>
        <w:tc>
          <w:tcPr>
            <w:tcW w:w="245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乡镇（街道）</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2020年秋季普查数据</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2025年底控制指标</w:t>
            </w:r>
          </w:p>
        </w:tc>
        <w:tc>
          <w:tcPr>
            <w:tcW w:w="3023"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区域划分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_GB2312" w:cs="Times New Roman"/>
                <w:sz w:val="32"/>
                <w:szCs w:val="32"/>
              </w:rPr>
            </w:pPr>
          </w:p>
        </w:tc>
        <w:tc>
          <w:tcPr>
            <w:tcW w:w="24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仿宋_GB2312" w:cs="Times New Roman"/>
                <w:sz w:val="32"/>
                <w:szCs w:val="32"/>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发生面积（万亩）</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发生面积（万亩）</w:t>
            </w:r>
          </w:p>
        </w:tc>
        <w:tc>
          <w:tcPr>
            <w:tcW w:w="3023"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溧城街道</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0.0318</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0.03</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昆仑街道</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0.06224</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天目湖镇</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0.6269</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0.6233</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戴埠镇</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0.0906</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0.0883</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社渚镇</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0.1759</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0.1727</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上兴镇</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非疫点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7</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上黄镇</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非疫点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南渡镇</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非疫点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竹箦镇</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非疫点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10</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国有林场总场</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0.1405</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0.136</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p>
        </w:tc>
        <w:tc>
          <w:tcPr>
            <w:tcW w:w="245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p>
        </w:tc>
        <w:tc>
          <w:tcPr>
            <w:tcW w:w="3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1.1279</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1.0503</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32"/>
                <w:szCs w:val="32"/>
              </w:rPr>
            </w:pPr>
          </w:p>
        </w:tc>
      </w:tr>
    </w:tbl>
    <w:p>
      <w:pPr>
        <w:snapToGrid w:val="0"/>
        <w:spacing w:line="560" w:lineRule="exact"/>
        <w:jc w:val="left"/>
        <w:rPr>
          <w:rFonts w:eastAsia="仿宋_GB2312"/>
          <w:spacing w:val="6"/>
          <w:sz w:val="32"/>
          <w:szCs w:val="32"/>
        </w:rPr>
        <w:sectPr>
          <w:pgSz w:w="16838" w:h="11906" w:orient="landscape"/>
          <w:pgMar w:top="1531" w:right="2041" w:bottom="1531" w:left="2041" w:header="851" w:footer="992" w:gutter="0"/>
          <w:pgNumType w:fmt="numberInDash"/>
          <w:cols w:space="720" w:num="1"/>
          <w:docGrid w:linePitch="579" w:charSpace="0"/>
        </w:sect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方正仿宋_GBK" w:eastAsia="方正仿宋_GBK"/>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- 1 -</w:t>
    </w:r>
    <w:r>
      <w:rPr>
        <w:sz w:val="28"/>
        <w:szCs w:val="28"/>
      </w:rPr>
      <w:fldChar w:fldCharType="end"/>
    </w:r>
  </w:p>
  <w:p>
    <w:pPr>
      <w:pStyle w:val="3"/>
      <w:jc w:val="center"/>
      <w:rPr>
        <w:rFonts w:ascii="方正仿宋_GBK" w:hAnsi="宋体" w:eastAsia="方正仿宋_GBK"/>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72EA9"/>
    <w:rsid w:val="4087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eastAsia="楷体_GB2312"/>
      <w:kern w:val="0"/>
      <w:sz w:val="20"/>
      <w:szCs w:val="20"/>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uiPriority w:val="0"/>
  </w:style>
  <w:style w:type="character" w:customStyle="1" w:styleId="7">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2021-12-31T08:21:00Z</dcterms:created>
  <dc:creator>子非鱼</dc:creator>
  <cp:lastModifiedBy>子非鱼</cp:lastModifiedBy>
  <dcterms:modified xsi:type="dcterms:W3CDTF">2021-12-31T08:21:56Z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3F9807F5372B4A288D5FA2C03F6C72E4</vt:lpwstr>
  </property>
</Properties>
</file>