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2B889F4D"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1308D2">
        <w:rPr>
          <w:rFonts w:eastAsia="仿宋_GB2312"/>
          <w:sz w:val="32"/>
          <w:szCs w:val="32"/>
        </w:rPr>
        <w:t>0</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524CDB54"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974A9C">
        <w:rPr>
          <w:rFonts w:eastAsia="仿宋_GB2312" w:cs="仿宋" w:hint="eastAsia"/>
          <w:sz w:val="32"/>
          <w:szCs w:val="32"/>
        </w:rPr>
        <w:t>某</w:t>
      </w:r>
      <w:r w:rsidR="00441D05" w:rsidRPr="00441D05">
        <w:rPr>
          <w:rFonts w:eastAsia="仿宋_GB2312" w:cs="仿宋" w:hint="eastAsia"/>
          <w:sz w:val="32"/>
          <w:szCs w:val="32"/>
        </w:rPr>
        <w:t xml:space="preserve"> </w:t>
      </w:r>
      <w:r w:rsidR="00441D05" w:rsidRPr="00441D05">
        <w:rPr>
          <w:rFonts w:eastAsia="仿宋_GB2312" w:cs="仿宋" w:hint="eastAsia"/>
          <w:sz w:val="32"/>
          <w:szCs w:val="32"/>
        </w:rPr>
        <w:t>。</w:t>
      </w:r>
    </w:p>
    <w:p w14:paraId="7FAE21C9" w14:textId="7BA17E8D" w:rsidR="0083132C" w:rsidRDefault="008706ED" w:rsidP="00974A9C">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974A9C">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1B38A348"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Pr>
          <w:rFonts w:eastAsia="仿宋_GB2312" w:cs="仿宋" w:hint="eastAsia"/>
          <w:sz w:val="32"/>
          <w:szCs w:val="32"/>
        </w:rPr>
        <w:t>。</w:t>
      </w:r>
    </w:p>
    <w:p w14:paraId="57A90146" w14:textId="521ED63E"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441D05">
        <w:rPr>
          <w:rFonts w:eastAsia="仿宋_GB2312" w:cs="仿宋" w:hint="eastAsia"/>
          <w:sz w:val="32"/>
          <w:szCs w:val="32"/>
        </w:rPr>
        <w:t>1</w:t>
      </w:r>
      <w:r w:rsidR="00441D05">
        <w:rPr>
          <w:rFonts w:eastAsia="仿宋_GB2312" w:cs="仿宋"/>
          <w:sz w:val="32"/>
          <w:szCs w:val="32"/>
        </w:rPr>
        <w:t>3</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bookmarkStart w:id="0" w:name="_Hlk91778867"/>
      <w:r w:rsidR="00974A9C">
        <w:rPr>
          <w:rFonts w:eastAsia="仿宋_GB2312" w:cs="仿宋" w:hint="eastAsia"/>
          <w:sz w:val="32"/>
          <w:szCs w:val="32"/>
        </w:rPr>
        <w:t>某</w:t>
      </w:r>
      <w:r w:rsidR="00441D05">
        <w:rPr>
          <w:rFonts w:eastAsia="仿宋_GB2312" w:cs="仿宋" w:hint="eastAsia"/>
          <w:sz w:val="32"/>
          <w:szCs w:val="32"/>
        </w:rPr>
        <w:t>商店</w:t>
      </w:r>
      <w:bookmarkEnd w:id="0"/>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236224">
        <w:rPr>
          <w:rFonts w:eastAsia="仿宋_GB2312" w:cs="仿宋"/>
          <w:sz w:val="32"/>
          <w:szCs w:val="32"/>
        </w:rPr>
        <w:t>1</w:t>
      </w:r>
      <w:r w:rsidR="0032336A">
        <w:rPr>
          <w:rFonts w:eastAsia="仿宋_GB2312" w:cs="仿宋" w:hint="eastAsia"/>
          <w:sz w:val="32"/>
          <w:szCs w:val="32"/>
        </w:rPr>
        <w:t>月</w:t>
      </w:r>
      <w:r w:rsidR="006E7B66">
        <w:rPr>
          <w:rFonts w:eastAsia="仿宋_GB2312" w:cs="仿宋"/>
          <w:sz w:val="32"/>
          <w:szCs w:val="32"/>
        </w:rPr>
        <w:t>2</w:t>
      </w:r>
      <w:r w:rsidR="00236224">
        <w:rPr>
          <w:rFonts w:eastAsia="仿宋_GB2312" w:cs="仿宋"/>
          <w:sz w:val="32"/>
          <w:szCs w:val="32"/>
        </w:rPr>
        <w:t>4</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w:t>
      </w:r>
      <w:r w:rsidR="00AF139B">
        <w:rPr>
          <w:rFonts w:eastAsia="仿宋_GB2312" w:cs="仿宋" w:hint="eastAsia"/>
          <w:sz w:val="32"/>
          <w:szCs w:val="32"/>
        </w:rPr>
        <w:t>建议</w:t>
      </w:r>
      <w:r w:rsidR="00DD3354">
        <w:rPr>
          <w:rFonts w:eastAsia="仿宋_GB2312" w:cs="仿宋" w:hint="eastAsia"/>
          <w:sz w:val="32"/>
          <w:szCs w:val="32"/>
        </w:rPr>
        <w:t>不予立案</w:t>
      </w:r>
      <w:r w:rsidR="006633F6">
        <w:rPr>
          <w:rFonts w:eastAsia="仿宋_GB2312" w:cs="仿宋" w:hint="eastAsia"/>
          <w:sz w:val="32"/>
          <w:szCs w:val="32"/>
        </w:rPr>
        <w:t>，且未告知申请人救济途径</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71145B">
        <w:rPr>
          <w:rFonts w:eastAsia="仿宋_GB2312" w:cs="仿宋" w:hint="eastAsia"/>
          <w:sz w:val="32"/>
          <w:szCs w:val="32"/>
        </w:rPr>
        <w:t>六</w:t>
      </w:r>
      <w:r w:rsidR="00356C4E">
        <w:rPr>
          <w:rFonts w:eastAsia="仿宋_GB2312" w:cs="仿宋" w:hint="eastAsia"/>
          <w:sz w:val="32"/>
          <w:szCs w:val="32"/>
        </w:rPr>
        <w:t>、</w:t>
      </w:r>
      <w:r w:rsidR="00AF139B">
        <w:rPr>
          <w:rFonts w:eastAsia="仿宋_GB2312" w:cs="仿宋" w:hint="eastAsia"/>
          <w:sz w:val="32"/>
          <w:szCs w:val="32"/>
        </w:rPr>
        <w:t>被申请</w:t>
      </w:r>
      <w:r w:rsidR="00AF139B">
        <w:rPr>
          <w:rFonts w:eastAsia="仿宋_GB2312" w:cs="仿宋" w:hint="eastAsia"/>
          <w:sz w:val="32"/>
          <w:szCs w:val="32"/>
        </w:rPr>
        <w:lastRenderedPageBreak/>
        <w:t>人对举报事项应依法立案或不予立案，却回复申请人“建议不予立案”</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36D6D28E"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236224">
        <w:rPr>
          <w:rFonts w:eastAsia="仿宋_GB2312" w:cs="仿宋"/>
          <w:sz w:val="32"/>
          <w:szCs w:val="32"/>
        </w:rPr>
        <w:t>14</w:t>
      </w:r>
      <w:r w:rsidR="00966827" w:rsidRPr="00966827">
        <w:rPr>
          <w:rFonts w:eastAsia="仿宋_GB2312" w:cs="仿宋" w:hint="eastAsia"/>
          <w:sz w:val="32"/>
          <w:szCs w:val="32"/>
        </w:rPr>
        <w:t>起，涉及</w:t>
      </w:r>
      <w:r w:rsidR="00236224">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w:t>
      </w:r>
      <w:r w:rsidR="00966827" w:rsidRPr="00966827">
        <w:rPr>
          <w:rFonts w:eastAsia="仿宋_GB2312" w:cs="仿宋" w:hint="eastAsia"/>
          <w:sz w:val="32"/>
          <w:szCs w:val="32"/>
        </w:rPr>
        <w:lastRenderedPageBreak/>
        <w:t>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2452D437"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236224">
        <w:rPr>
          <w:rFonts w:eastAsia="仿宋_GB2312" w:cs="仿宋"/>
          <w:sz w:val="32"/>
          <w:szCs w:val="32"/>
        </w:rPr>
        <w:t>13</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974A9C">
        <w:rPr>
          <w:rFonts w:eastAsia="仿宋_GB2312" w:cs="仿宋" w:hint="eastAsia"/>
          <w:sz w:val="32"/>
          <w:szCs w:val="32"/>
        </w:rPr>
        <w:t>某</w:t>
      </w:r>
      <w:r w:rsidR="00AF139B" w:rsidRPr="00AF139B">
        <w:rPr>
          <w:rFonts w:eastAsia="仿宋_GB2312" w:cs="仿宋" w:hint="eastAsia"/>
          <w:sz w:val="32"/>
          <w:szCs w:val="32"/>
        </w:rPr>
        <w:t>商店</w:t>
      </w:r>
      <w:r w:rsidR="00966827">
        <w:rPr>
          <w:rFonts w:eastAsia="仿宋_GB2312" w:cs="仿宋" w:hint="eastAsia"/>
          <w:sz w:val="32"/>
          <w:szCs w:val="32"/>
        </w:rPr>
        <w:t>未取得药品经营许可证</w:t>
      </w:r>
      <w:r w:rsidR="000B45E2">
        <w:rPr>
          <w:rFonts w:eastAsia="仿宋_GB2312" w:cs="仿宋" w:hint="eastAsia"/>
          <w:sz w:val="32"/>
          <w:szCs w:val="32"/>
        </w:rPr>
        <w:t>销售“水仙牌风油精”</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，依据《市场监督管理行政处罚程序规定》第二十条第一款第（二）项的规定</w:t>
      </w:r>
      <w:r w:rsidR="00AF7631" w:rsidRPr="00AF7631">
        <w:rPr>
          <w:rFonts w:eastAsia="仿宋_GB2312" w:cs="仿宋" w:hint="eastAsia"/>
          <w:sz w:val="32"/>
          <w:szCs w:val="32"/>
        </w:rPr>
        <w:t>决定不予立案</w:t>
      </w:r>
      <w:r w:rsidR="00011116">
        <w:rPr>
          <w:rFonts w:eastAsia="仿宋_GB2312" w:cs="仿宋" w:hint="eastAsia"/>
          <w:sz w:val="32"/>
          <w:szCs w:val="32"/>
        </w:rPr>
        <w:t>，</w:t>
      </w:r>
      <w:r w:rsidR="000B45E2">
        <w:rPr>
          <w:rFonts w:eastAsia="仿宋_GB2312" w:cs="仿宋" w:hint="eastAsia"/>
          <w:sz w:val="32"/>
          <w:szCs w:val="32"/>
        </w:rPr>
        <w:t>并将处理结果书面告知申请人</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w:t>
      </w:r>
      <w:r w:rsidR="006F641F">
        <w:rPr>
          <w:rFonts w:eastAsia="仿宋_GB2312" w:cs="仿宋" w:hint="eastAsia"/>
          <w:sz w:val="32"/>
          <w:szCs w:val="32"/>
        </w:rPr>
        <w:lastRenderedPageBreak/>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C5D9" w14:textId="77777777" w:rsidR="00F376DB" w:rsidRDefault="00F376DB">
      <w:r>
        <w:separator/>
      </w:r>
    </w:p>
  </w:endnote>
  <w:endnote w:type="continuationSeparator" w:id="0">
    <w:p w14:paraId="09756E44" w14:textId="77777777" w:rsidR="00F376DB" w:rsidRDefault="00F3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DD96" w14:textId="77777777" w:rsidR="00F376DB" w:rsidRDefault="00F376DB">
      <w:r>
        <w:separator/>
      </w:r>
    </w:p>
  </w:footnote>
  <w:footnote w:type="continuationSeparator" w:id="0">
    <w:p w14:paraId="29A9C246" w14:textId="77777777" w:rsidR="00F376DB" w:rsidRDefault="00F37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63EE7"/>
    <w:rsid w:val="00065B0B"/>
    <w:rsid w:val="000978F9"/>
    <w:rsid w:val="000A4533"/>
    <w:rsid w:val="000B436E"/>
    <w:rsid w:val="000B45E2"/>
    <w:rsid w:val="000C7F95"/>
    <w:rsid w:val="000D55BF"/>
    <w:rsid w:val="000F60FE"/>
    <w:rsid w:val="001006D4"/>
    <w:rsid w:val="00102255"/>
    <w:rsid w:val="001031A2"/>
    <w:rsid w:val="00120992"/>
    <w:rsid w:val="001308D2"/>
    <w:rsid w:val="00163120"/>
    <w:rsid w:val="00176A99"/>
    <w:rsid w:val="00184386"/>
    <w:rsid w:val="001A441B"/>
    <w:rsid w:val="001C154B"/>
    <w:rsid w:val="001F49E5"/>
    <w:rsid w:val="00205BB6"/>
    <w:rsid w:val="00213563"/>
    <w:rsid w:val="00226CEC"/>
    <w:rsid w:val="00236224"/>
    <w:rsid w:val="002629BB"/>
    <w:rsid w:val="00290E19"/>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948"/>
    <w:rsid w:val="00837DF9"/>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C24A4"/>
    <w:rsid w:val="008E0175"/>
    <w:rsid w:val="008F06C9"/>
    <w:rsid w:val="008F6C1D"/>
    <w:rsid w:val="009034BF"/>
    <w:rsid w:val="00914780"/>
    <w:rsid w:val="00940D97"/>
    <w:rsid w:val="00946B73"/>
    <w:rsid w:val="00947023"/>
    <w:rsid w:val="009503E2"/>
    <w:rsid w:val="00966827"/>
    <w:rsid w:val="0097080E"/>
    <w:rsid w:val="00972B02"/>
    <w:rsid w:val="00974A9C"/>
    <w:rsid w:val="00987772"/>
    <w:rsid w:val="009B5FE9"/>
    <w:rsid w:val="009C06EB"/>
    <w:rsid w:val="009D70E7"/>
    <w:rsid w:val="009E2E14"/>
    <w:rsid w:val="00A03729"/>
    <w:rsid w:val="00A430E7"/>
    <w:rsid w:val="00A50974"/>
    <w:rsid w:val="00A77529"/>
    <w:rsid w:val="00A952D2"/>
    <w:rsid w:val="00AB3C9C"/>
    <w:rsid w:val="00AC5B26"/>
    <w:rsid w:val="00AE5ACE"/>
    <w:rsid w:val="00AF139B"/>
    <w:rsid w:val="00AF7631"/>
    <w:rsid w:val="00B00117"/>
    <w:rsid w:val="00B30A78"/>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3A57"/>
    <w:rsid w:val="00DA5CA6"/>
    <w:rsid w:val="00DB1211"/>
    <w:rsid w:val="00DD101E"/>
    <w:rsid w:val="00DD3354"/>
    <w:rsid w:val="00E0305C"/>
    <w:rsid w:val="00E03946"/>
    <w:rsid w:val="00E07680"/>
    <w:rsid w:val="00E5524C"/>
    <w:rsid w:val="00E55F7B"/>
    <w:rsid w:val="00E57D15"/>
    <w:rsid w:val="00EE0119"/>
    <w:rsid w:val="00EE18DC"/>
    <w:rsid w:val="00F02680"/>
    <w:rsid w:val="00F26667"/>
    <w:rsid w:val="00F376DB"/>
    <w:rsid w:val="00F459CE"/>
    <w:rsid w:val="00F52C38"/>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45</cp:revision>
  <cp:lastPrinted>2021-12-30T06:33:00Z</cp:lastPrinted>
  <dcterms:created xsi:type="dcterms:W3CDTF">2021-12-10T07:47:00Z</dcterms:created>
  <dcterms:modified xsi:type="dcterms:W3CDTF">2022-01-12T02:24:00Z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