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保障支付服务“不断档”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助力溧阳防疫“不缺位”</w:t>
      </w:r>
    </w:p>
    <w:bookmarkEnd w:id="0"/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近期，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江苏常州疫情防控形势复杂严峻。面对突发疫情，人民银行溧阳市支行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积极践行“支付为民”理念，一手抓疫情防控、一手抓优化服务，组织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辖内金融机构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从畅通资金汇划渠道、推广“非接触”移动支付服务等方面全力支持政府抗疫，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确保两会期间系统运行平稳，助力打赢疫情防控阻击战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。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　　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闻令即动，下好应急处置“先手棋”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本次疫情发生后，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溧阳市支行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迅速响应，对内快速制定疫情防控工作指引和要求，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主动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协调做好全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支付清算系统连续运行保障、资金紧急汇划等专项工作。对外，要求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辖内金融机构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及时启动各项应急预案，开通紧急拨款、账户开立等绿色通道，确保支付结算“工作不断、业务不乱”，随时满足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政府疫情防控应急处置需要。同时，严控银行网点等重点区域人员流动聚集风险，组织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金融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机构配齐网点防疫物资，保持体温监测、出示健康码、戴口罩、消毒清洁等常态化疫情防控措施，确保不留死角、不留盲区，有效切断病毒传播链条。</w:t>
      </w:r>
    </w:p>
    <w:p>
      <w:pP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　　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特事特办，确保抗疫资金汇划“零延迟”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在本轮疫情关键时期，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溧阳市支行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继续依托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大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小额支付系统，进一步加强窗口指导，督促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金融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机构迅速响应，缩短业务处理时间，并按照“特事特办”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“随到随办”的原则，迅速开通政府防疫资金汇划“绿色通道”，及时做好人员和业务对接，全力保障各类抗疫资金安全、及时汇划到位。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　　</w:t>
      </w:r>
      <w:r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  <w:t>精准施策，织密非接触支付服务“防护网”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溧阳市支行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辖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金融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积极宣传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移动支付“非接触，少出门”的服务优势，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倡导市民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通过网上银行、手机银行、云闪付APP等平台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办理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账户管理、转账汇款、生活缴费等金融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业务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，努力保障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疫情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期间人民群众优质、便捷、高效的支付服务需求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我支行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认真落实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政府全民反诈专项行动工作部署，及时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防范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不法分子利用疫情、疫苗接种等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政策实施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电信网络诈骗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风险，迅速组织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辖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金融机构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开展主题反诈防诈宣传，切实保护人民群众“钱袋子”。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18473D70"/>
    <w:rsid w:val="23942816"/>
    <w:rsid w:val="2557327A"/>
    <w:rsid w:val="28354C33"/>
    <w:rsid w:val="2E6128D9"/>
    <w:rsid w:val="2FF161F3"/>
    <w:rsid w:val="32BF6AE4"/>
    <w:rsid w:val="3A9564C7"/>
    <w:rsid w:val="3F79068C"/>
    <w:rsid w:val="40EB2643"/>
    <w:rsid w:val="450F5CA8"/>
    <w:rsid w:val="5194084B"/>
    <w:rsid w:val="52D837D4"/>
    <w:rsid w:val="58D91CAD"/>
    <w:rsid w:val="5A735892"/>
    <w:rsid w:val="5CB44DF6"/>
    <w:rsid w:val="5E6B3937"/>
    <w:rsid w:val="60942F86"/>
    <w:rsid w:val="61256744"/>
    <w:rsid w:val="61803E89"/>
    <w:rsid w:val="68E6427B"/>
    <w:rsid w:val="6A670BF0"/>
    <w:rsid w:val="6FD9397C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2022-03-14T08:05:00Z</dcterms:created>
  <dc:creator>yue</dc:creator>
  <cp:lastModifiedBy>宗梦婷/溧阳支行/常州/PBC</cp:lastModifiedBy>
  <dcterms:modified xsi:type="dcterms:W3CDTF">2022-03-24T06:00:59Z</dcterms:modified>
  <dc:title>保障支付服务“不断档” 助力溧阳防疫“不缺位”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