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B" w:rsidRDefault="00380486">
      <w:pPr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社渚镇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2022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政府信息公开工作年度报告</w:t>
      </w:r>
    </w:p>
    <w:p w:rsidR="00D854EB" w:rsidRDefault="00D854EB">
      <w:pPr>
        <w:widowControl/>
        <w:shd w:val="clear" w:color="auto" w:fill="FFFFFF"/>
        <w:spacing w:line="560" w:lineRule="exact"/>
        <w:ind w:firstLine="48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D854EB" w:rsidRDefault="00380486">
      <w:pPr>
        <w:widowControl/>
        <w:shd w:val="clear" w:color="auto" w:fill="FFFFFF"/>
        <w:spacing w:line="54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2022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年，我镇深入贯彻落实</w:t>
      </w:r>
      <w:r>
        <w:rPr>
          <w:rFonts w:eastAsia="仿宋_GB2312"/>
          <w:color w:val="000000" w:themeColor="text1"/>
          <w:kern w:val="0"/>
          <w:sz w:val="32"/>
          <w:szCs w:val="32"/>
        </w:rPr>
        <w:t>《中华人民共和国政府信息公开条例》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，按照市委、市政府的安排部署，圆满完成了全年的各项工作任务。聚焦年度信息公开工作，强化组织、落实分工，持续推动信息公开工作高效透明运行。</w:t>
      </w:r>
    </w:p>
    <w:p w:rsidR="00D854EB" w:rsidRDefault="00380486">
      <w:pPr>
        <w:widowControl/>
        <w:shd w:val="clear" w:color="auto" w:fill="FFFFFF"/>
        <w:spacing w:line="54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现将政府信息公开情况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报告如下：</w:t>
      </w:r>
    </w:p>
    <w:p w:rsidR="00D854EB" w:rsidRDefault="00380486">
      <w:pPr>
        <w:widowControl/>
        <w:shd w:val="clear" w:color="auto" w:fill="FFFFFF"/>
        <w:spacing w:line="540" w:lineRule="exact"/>
        <w:ind w:firstLineChars="200"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总体情况</w:t>
      </w:r>
    </w:p>
    <w:p w:rsidR="00D854EB" w:rsidRDefault="00380486">
      <w:pPr>
        <w:widowControl/>
        <w:shd w:val="clear" w:color="auto" w:fill="FFFFFF"/>
        <w:spacing w:line="540" w:lineRule="exact"/>
        <w:ind w:firstLineChars="200" w:firstLine="643"/>
        <w:rPr>
          <w:rFonts w:ascii="楷体_GB2312" w:eastAsia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kern w:val="0"/>
          <w:sz w:val="32"/>
          <w:szCs w:val="32"/>
        </w:rPr>
        <w:t>（一）主动公开</w:t>
      </w:r>
    </w:p>
    <w:p w:rsidR="00D854EB" w:rsidRDefault="00380486">
      <w:pPr>
        <w:widowControl/>
        <w:spacing w:line="540" w:lineRule="exact"/>
        <w:ind w:firstLine="645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围绕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争创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全国文明典范城市、生态文明城市深化、增进民生福祉、深化区域协作等一系列重点工作方面深入推进公开。特别是对涉及民众利益的重点领域不断加大主动公开力度，提高公开实效，切实保障群众的知情权和参与权。今年以来，政府信息主动公开信息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196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条，涵盖工作动态、规章制度、政策文件、栏目设置等。其中，主动公开政府文件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14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件，政策解读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期，</w:t>
      </w:r>
      <w:r>
        <w:rPr>
          <w:rFonts w:eastAsia="仿宋_GB2312"/>
          <w:color w:val="000000"/>
          <w:kern w:val="0"/>
          <w:sz w:val="32"/>
          <w:szCs w:val="32"/>
        </w:rPr>
        <w:t>受理市长信箱网民来信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封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</w:p>
    <w:p w:rsidR="00D854EB" w:rsidRDefault="00380486">
      <w:pPr>
        <w:widowControl/>
        <w:shd w:val="clear" w:color="auto" w:fill="FFFFFF"/>
        <w:spacing w:line="540" w:lineRule="exact"/>
        <w:ind w:firstLineChars="200" w:firstLine="643"/>
        <w:rPr>
          <w:rFonts w:ascii="楷体_GB2312" w:eastAsia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kern w:val="0"/>
          <w:sz w:val="32"/>
          <w:szCs w:val="32"/>
        </w:rPr>
        <w:t>（二）依申请公开</w:t>
      </w:r>
    </w:p>
    <w:p w:rsidR="00D854EB" w:rsidRDefault="00380486">
      <w:pPr>
        <w:widowControl/>
        <w:shd w:val="clear" w:color="auto" w:fill="FFFFFF"/>
        <w:spacing w:line="540" w:lineRule="exact"/>
        <w:ind w:left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无。</w:t>
      </w:r>
    </w:p>
    <w:p w:rsidR="00D854EB" w:rsidRDefault="00380486">
      <w:pPr>
        <w:widowControl/>
        <w:shd w:val="clear" w:color="auto" w:fill="FFFFFF"/>
        <w:spacing w:line="540" w:lineRule="exact"/>
        <w:ind w:left="640"/>
        <w:jc w:val="left"/>
        <w:rPr>
          <w:rFonts w:ascii="楷体_GB2312" w:eastAsia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kern w:val="0"/>
          <w:sz w:val="32"/>
          <w:szCs w:val="32"/>
        </w:rPr>
        <w:t>（三）政府信息管理</w:t>
      </w:r>
    </w:p>
    <w:p w:rsidR="00D854EB" w:rsidRDefault="00380486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遵循“谁主办、谁负责，先审查、后公开”和“科室负责人初审、分管领导复核”的两级审查制度，对应当公开的政府信息进行预先审核和保密审查，确保涉密内容不上网公布，保障了政务公开内容不涉密、不泄密。</w:t>
      </w:r>
    </w:p>
    <w:p w:rsidR="00D854EB" w:rsidRDefault="00380486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楷体_GB2312" w:eastAsia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kern w:val="0"/>
          <w:sz w:val="32"/>
          <w:szCs w:val="32"/>
        </w:rPr>
        <w:lastRenderedPageBreak/>
        <w:t>（四）政府信息公开平台建设</w:t>
      </w:r>
    </w:p>
    <w:p w:rsidR="00D854EB" w:rsidRDefault="0038048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Calibri" w:cs="Calibri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研究政务公开和政务信息公开工作重大事项，指定办公室具体承办信息公开业务，确保工作人员、办公经费、办</w:t>
      </w:r>
      <w:r>
        <w:rPr>
          <w:rFonts w:ascii="仿宋_GB2312" w:eastAsia="仿宋_GB2312" w:hAnsi="宋体" w:cs="Calibri" w:hint="eastAsia"/>
          <w:color w:val="000000" w:themeColor="text1"/>
          <w:kern w:val="0"/>
          <w:sz w:val="32"/>
          <w:szCs w:val="32"/>
        </w:rPr>
        <w:t>公场所“三落实”。积极推动信息公开与政府相关职能部门进行数据交换共享，打破信息孤岛，推进变“群众跑腿”为“信息带路”。</w:t>
      </w:r>
    </w:p>
    <w:p w:rsidR="00D854EB" w:rsidRDefault="00380486">
      <w:pPr>
        <w:widowControl/>
        <w:shd w:val="clear" w:color="auto" w:fill="FFFFFF"/>
        <w:spacing w:line="520" w:lineRule="exact"/>
        <w:ind w:left="640"/>
        <w:jc w:val="left"/>
        <w:rPr>
          <w:rFonts w:ascii="楷体_GB2312" w:eastAsia="楷体_GB2312" w:hAnsi="Calibri" w:cs="Calibri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Calibri" w:hint="eastAsia"/>
          <w:b/>
          <w:color w:val="000000" w:themeColor="text1"/>
          <w:kern w:val="0"/>
          <w:sz w:val="32"/>
          <w:szCs w:val="32"/>
        </w:rPr>
        <w:t>（五）监督保障</w:t>
      </w:r>
    </w:p>
    <w:p w:rsidR="00D854EB" w:rsidRDefault="00380486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Calibri" w:cs="Calibri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积极贯彻落实国家、省、市关于信息公开工作各项规定，加强组织协调，坚持跟踪督促，扎实做好政府信息公开工作，高效完成上级交办的工作任务。坚持服务与便民相结合，监督与法制相结合的工作原则，简化办事程序，缩短办结时限。继续积极稳妥地推进财务信息公开，行政权力运行信息公开，行业公共服务信息公开和公共监管信息公开。</w:t>
      </w:r>
    </w:p>
    <w:p w:rsidR="00D854EB" w:rsidRDefault="00380486">
      <w:pPr>
        <w:pStyle w:val="a6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黑体" w:eastAsia="黑体" w:hAnsi="黑体" w:cs="方正小标宋简体"/>
          <w:color w:val="000000" w:themeColor="text1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p w:rsidR="00D854EB" w:rsidRDefault="00D854EB">
      <w:pPr>
        <w:pStyle w:val="a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854EB">
        <w:trPr>
          <w:trHeight w:val="382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</w:t>
            </w:r>
            <w:r>
              <w:rPr>
                <w:rFonts w:ascii="宋体" w:hAnsi="宋体" w:cs="宋体" w:hint="eastAsia"/>
                <w:kern w:val="0"/>
                <w:sz w:val="24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Calibri" w:eastAsiaTheme="minorEastAsia" w:hAnsi="Calibri" w:cs="Calibri" w:hint="eastAsia"/>
                <w:kern w:val="0"/>
                <w:sz w:val="24"/>
              </w:rPr>
              <w:t>0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Calibri" w:eastAsiaTheme="minorEastAsia" w:hAnsi="Calibri" w:cs="Calibri" w:hint="eastAsia"/>
                <w:kern w:val="0"/>
                <w:sz w:val="24"/>
              </w:rPr>
              <w:t>0</w:t>
            </w:r>
          </w:p>
        </w:tc>
      </w:tr>
      <w:tr w:rsidR="00D854EB">
        <w:trPr>
          <w:trHeight w:val="382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本年处理决定数量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D854EB">
        <w:trPr>
          <w:trHeight w:val="382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本年处理决定数量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D854EB">
        <w:trPr>
          <w:trHeight w:val="382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:rsidR="00D854EB">
        <w:trPr>
          <w:trHeight w:val="382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854EB" w:rsidRDefault="00380486">
      <w:pPr>
        <w:pStyle w:val="a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方正小标宋简体"/>
          <w:color w:val="000000" w:themeColor="text1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shd w:val="clear" w:color="auto" w:fill="FFFFFF"/>
        </w:rPr>
        <w:lastRenderedPageBreak/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:rsidR="00D854EB"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申请人情况</w:t>
            </w:r>
          </w:p>
        </w:tc>
      </w:tr>
      <w:tr w:rsidR="00D854EB">
        <w:trPr>
          <w:jc w:val="center"/>
        </w:trPr>
        <w:tc>
          <w:tcPr>
            <w:tcW w:w="49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总计</w:t>
            </w:r>
          </w:p>
        </w:tc>
      </w:tr>
      <w:tr w:rsidR="00D854EB">
        <w:trPr>
          <w:jc w:val="center"/>
        </w:trPr>
        <w:tc>
          <w:tcPr>
            <w:tcW w:w="49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商业</w:t>
            </w:r>
          </w:p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科研</w:t>
            </w:r>
          </w:p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机构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社会公益组织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法律服务机构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854EB"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trHeight w:val="297"/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6.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7.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trHeight w:val="779"/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D854EB">
            <w:pPr>
              <w:spacing w:line="2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  <w:tr w:rsidR="00D854EB"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54EB" w:rsidRDefault="00380486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</w:tbl>
    <w:p w:rsidR="00D854EB" w:rsidRDefault="00D854EB"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p w:rsidR="00D854EB" w:rsidRDefault="00380486">
      <w:pPr>
        <w:pStyle w:val="a6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方正小标宋简体"/>
          <w:color w:val="000000" w:themeColor="text1"/>
          <w:sz w:val="32"/>
          <w:szCs w:val="32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shd w:val="clear" w:color="auto" w:fill="FFFFFF"/>
        </w:rPr>
        <w:lastRenderedPageBreak/>
        <w:t>四、政府信息公开行政复议、行政诉讼情况</w:t>
      </w:r>
    </w:p>
    <w:p w:rsidR="00D854EB" w:rsidRDefault="00D854EB"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D854EB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行政诉讼</w:t>
            </w:r>
          </w:p>
        </w:tc>
      </w:tr>
      <w:tr w:rsidR="00D854EB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复议后起诉</w:t>
            </w:r>
          </w:p>
        </w:tc>
      </w:tr>
      <w:tr w:rsidR="00D854EB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D854E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结果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尚未</w:t>
            </w:r>
          </w:p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</w:tr>
      <w:tr w:rsidR="00D854EB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54EB" w:rsidRDefault="0038048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854EB" w:rsidRDefault="00D854EB">
      <w:pPr>
        <w:widowControl/>
        <w:jc w:val="left"/>
      </w:pPr>
    </w:p>
    <w:p w:rsidR="00D854EB" w:rsidRDefault="00380486">
      <w:pPr>
        <w:pStyle w:val="a6"/>
        <w:widowControl/>
        <w:shd w:val="clear" w:color="auto" w:fill="FFFFFF"/>
        <w:spacing w:beforeAutospacing="0" w:afterAutospacing="0" w:line="560" w:lineRule="exact"/>
        <w:ind w:firstLineChars="196" w:firstLine="627"/>
        <w:jc w:val="both"/>
        <w:rPr>
          <w:rFonts w:eastAsia="黑体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eastAsia="黑体" w:hAnsi="黑体"/>
          <w:bCs/>
          <w:color w:val="000000" w:themeColor="text1"/>
          <w:sz w:val="32"/>
          <w:szCs w:val="32"/>
          <w:shd w:val="clear" w:color="auto" w:fill="FFFFFF"/>
        </w:rPr>
        <w:t>五、存在的主要问题及改进情况</w:t>
      </w:r>
    </w:p>
    <w:p w:rsidR="00D854EB" w:rsidRDefault="00380486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存在的问题：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社渚镇新调整了</w:t>
      </w: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政府信息公开工作人员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名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对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具体业务</w:t>
      </w: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不太熟悉。</w:t>
      </w:r>
    </w:p>
    <w:p w:rsidR="00D854EB" w:rsidRDefault="00380486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改进措施：成立政府信息公开工作领导小组，镇主要领导亲自督办，安排专职人员负责日常工作，对新同</w:t>
      </w:r>
      <w:r>
        <w:rPr>
          <w:rFonts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志</w:t>
      </w: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进行培训。</w:t>
      </w:r>
    </w:p>
    <w:p w:rsidR="00D854EB" w:rsidRDefault="00380486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下一步，我镇将继续抓好政府信息公开工作，努力回应群众关切，充分保障人民群众的知情权，不断提高信息公开的水平。</w:t>
      </w:r>
      <w:r>
        <w:rPr>
          <w:rFonts w:eastAsia="仿宋_GB2312"/>
          <w:color w:val="000000" w:themeColor="text1"/>
          <w:sz w:val="32"/>
          <w:szCs w:val="32"/>
        </w:rPr>
        <w:t>同时认真参加市委、市政府及各职能部门组织的相关专业培训，让</w:t>
      </w:r>
      <w:r>
        <w:rPr>
          <w:rFonts w:eastAsia="仿宋_GB2312" w:hint="eastAsia"/>
          <w:color w:val="000000" w:themeColor="text1"/>
          <w:sz w:val="32"/>
          <w:szCs w:val="32"/>
        </w:rPr>
        <w:t>全</w:t>
      </w:r>
      <w:r>
        <w:rPr>
          <w:rFonts w:eastAsia="仿宋_GB2312"/>
          <w:color w:val="000000" w:themeColor="text1"/>
          <w:sz w:val="32"/>
          <w:szCs w:val="32"/>
        </w:rPr>
        <w:t>镇信息公开工作在全市走在前列。</w:t>
      </w:r>
      <w:r>
        <w:rPr>
          <w:rFonts w:eastAsia="仿宋_GB2312"/>
          <w:color w:val="000000" w:themeColor="text1"/>
          <w:sz w:val="32"/>
          <w:szCs w:val="32"/>
        </w:rPr>
        <w:br/>
      </w:r>
      <w:r>
        <w:rPr>
          <w:rFonts w:eastAsia="黑体" w:hAnsi="黑体"/>
          <w:bCs/>
          <w:color w:val="000000" w:themeColor="text1"/>
          <w:sz w:val="32"/>
          <w:szCs w:val="32"/>
          <w:shd w:val="clear" w:color="auto" w:fill="FFFFFF"/>
        </w:rPr>
        <w:t>六、其他需要报告的事项</w:t>
      </w:r>
    </w:p>
    <w:p w:rsidR="00D854EB" w:rsidRDefault="00380486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我镇将严格按照市委</w:t>
      </w:r>
      <w:bookmarkStart w:id="0" w:name="_GoBack"/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、市政府对政府信息公开工作的要求，严格对标对表，努力提高办事效率，优化办事结构，简化工作流程，真正做到让群众少跑腿，让数据多带路。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年，我镇在人民群众关心的乡村振兴、政府采购、招考录用</w:t>
      </w:r>
      <w:bookmarkEnd w:id="0"/>
      <w:r>
        <w:rPr>
          <w:rFonts w:eastAsia="仿宋_GB2312" w:hAnsi="仿宋_GB2312"/>
          <w:color w:val="000000" w:themeColor="text1"/>
          <w:sz w:val="32"/>
          <w:szCs w:val="32"/>
          <w:shd w:val="clear" w:color="auto" w:fill="FFFFFF"/>
        </w:rPr>
        <w:t>等栏目都做了重点信息公开，回应社会关切，充分保障人民群众知情权。</w:t>
      </w:r>
    </w:p>
    <w:p w:rsidR="00D854EB" w:rsidRDefault="00380486">
      <w:pPr>
        <w:spacing w:line="560" w:lineRule="exact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lastRenderedPageBreak/>
        <w:t>（此页无正文）</w:t>
      </w:r>
    </w:p>
    <w:p w:rsidR="00D854EB" w:rsidRDefault="00D854EB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</w:p>
    <w:p w:rsidR="00D854EB" w:rsidRDefault="00D854EB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</w:p>
    <w:p w:rsidR="00D854EB" w:rsidRDefault="00D854EB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</w:p>
    <w:p w:rsidR="00D854EB" w:rsidRDefault="00D854EB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</w:p>
    <w:p w:rsidR="00D854EB" w:rsidRDefault="00380486" w:rsidP="00ED0697">
      <w:pPr>
        <w:spacing w:line="560" w:lineRule="exact"/>
        <w:ind w:firstLineChars="1063" w:firstLine="3402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溧阳市社渚镇人民政府</w:t>
      </w:r>
    </w:p>
    <w:p w:rsidR="00D854EB" w:rsidRDefault="00380486" w:rsidP="00ED0697">
      <w:pPr>
        <w:spacing w:line="560" w:lineRule="exact"/>
        <w:ind w:right="320" w:firstLineChars="1196" w:firstLine="3827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202</w:t>
      </w:r>
      <w:r>
        <w:rPr>
          <w:rFonts w:eastAsia="仿宋_GB2312" w:hint="eastAsia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月</w:t>
      </w:r>
      <w:r>
        <w:rPr>
          <w:rFonts w:eastAsia="仿宋_GB2312" w:hint="eastAsia"/>
          <w:bCs/>
          <w:kern w:val="0"/>
          <w:sz w:val="32"/>
          <w:szCs w:val="32"/>
        </w:rPr>
        <w:t>10</w:t>
      </w:r>
      <w:r>
        <w:rPr>
          <w:rFonts w:eastAsia="仿宋_GB2312"/>
          <w:bCs/>
          <w:kern w:val="0"/>
          <w:sz w:val="32"/>
          <w:szCs w:val="32"/>
        </w:rPr>
        <w:t>日</w:t>
      </w:r>
    </w:p>
    <w:sectPr w:rsidR="00D854EB" w:rsidSect="00D854E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86" w:rsidRDefault="00380486" w:rsidP="00ED0697">
      <w:r>
        <w:separator/>
      </w:r>
    </w:p>
  </w:endnote>
  <w:endnote w:type="continuationSeparator" w:id="1">
    <w:p w:rsidR="00380486" w:rsidRDefault="00380486" w:rsidP="00ED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86" w:rsidRDefault="00380486" w:rsidP="00ED0697">
      <w:r>
        <w:separator/>
      </w:r>
    </w:p>
  </w:footnote>
  <w:footnote w:type="continuationSeparator" w:id="1">
    <w:p w:rsidR="00380486" w:rsidRDefault="00380486" w:rsidP="00ED0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M5OGRkOTBhYzQ0YjE2MWRkNjMwNGRiNzEzODM0ZTcifQ=="/>
  </w:docVars>
  <w:rsids>
    <w:rsidRoot w:val="009055AE"/>
    <w:rsid w:val="0006761B"/>
    <w:rsid w:val="000B4DD7"/>
    <w:rsid w:val="00103C4D"/>
    <w:rsid w:val="001548FA"/>
    <w:rsid w:val="001A7AB7"/>
    <w:rsid w:val="001D0058"/>
    <w:rsid w:val="001E4622"/>
    <w:rsid w:val="00270B25"/>
    <w:rsid w:val="0027378D"/>
    <w:rsid w:val="002B733E"/>
    <w:rsid w:val="00380486"/>
    <w:rsid w:val="00384092"/>
    <w:rsid w:val="00393BF5"/>
    <w:rsid w:val="00413069"/>
    <w:rsid w:val="00466BD1"/>
    <w:rsid w:val="00496D31"/>
    <w:rsid w:val="004A1791"/>
    <w:rsid w:val="004B2FEF"/>
    <w:rsid w:val="004C08D4"/>
    <w:rsid w:val="0052499A"/>
    <w:rsid w:val="00532B2B"/>
    <w:rsid w:val="00566666"/>
    <w:rsid w:val="00575DB2"/>
    <w:rsid w:val="005A0D7F"/>
    <w:rsid w:val="005C37D2"/>
    <w:rsid w:val="00646D00"/>
    <w:rsid w:val="0065095D"/>
    <w:rsid w:val="00661397"/>
    <w:rsid w:val="0068542B"/>
    <w:rsid w:val="00690F41"/>
    <w:rsid w:val="006B2609"/>
    <w:rsid w:val="006F41BF"/>
    <w:rsid w:val="00756C0D"/>
    <w:rsid w:val="007A3B77"/>
    <w:rsid w:val="007E123C"/>
    <w:rsid w:val="007F513E"/>
    <w:rsid w:val="00853188"/>
    <w:rsid w:val="00875C06"/>
    <w:rsid w:val="00883252"/>
    <w:rsid w:val="008A1FA7"/>
    <w:rsid w:val="008B741D"/>
    <w:rsid w:val="009055AE"/>
    <w:rsid w:val="009234EB"/>
    <w:rsid w:val="00942F48"/>
    <w:rsid w:val="00960F68"/>
    <w:rsid w:val="009B6E33"/>
    <w:rsid w:val="009D3CB8"/>
    <w:rsid w:val="009D4869"/>
    <w:rsid w:val="00A016E5"/>
    <w:rsid w:val="00A31762"/>
    <w:rsid w:val="00A52981"/>
    <w:rsid w:val="00A672C6"/>
    <w:rsid w:val="00A83169"/>
    <w:rsid w:val="00A870DF"/>
    <w:rsid w:val="00AE4097"/>
    <w:rsid w:val="00B1775C"/>
    <w:rsid w:val="00BD62D8"/>
    <w:rsid w:val="00C2333E"/>
    <w:rsid w:val="00C45097"/>
    <w:rsid w:val="00C8122E"/>
    <w:rsid w:val="00CA7B3D"/>
    <w:rsid w:val="00D079BD"/>
    <w:rsid w:val="00D23D66"/>
    <w:rsid w:val="00D55964"/>
    <w:rsid w:val="00D85409"/>
    <w:rsid w:val="00D854EB"/>
    <w:rsid w:val="00DC55A0"/>
    <w:rsid w:val="00DD3AC5"/>
    <w:rsid w:val="00E12C55"/>
    <w:rsid w:val="00E13C2D"/>
    <w:rsid w:val="00E472C9"/>
    <w:rsid w:val="00E81A1A"/>
    <w:rsid w:val="00E946FB"/>
    <w:rsid w:val="00ED0697"/>
    <w:rsid w:val="00EE690F"/>
    <w:rsid w:val="00F531CA"/>
    <w:rsid w:val="00F63B80"/>
    <w:rsid w:val="00F7289A"/>
    <w:rsid w:val="00F831AE"/>
    <w:rsid w:val="049E255C"/>
    <w:rsid w:val="2F0A3B51"/>
    <w:rsid w:val="6B1E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85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5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5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D854EB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D854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D854E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854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54EB"/>
    <w:rPr>
      <w:sz w:val="18"/>
      <w:szCs w:val="18"/>
    </w:rPr>
  </w:style>
  <w:style w:type="paragraph" w:customStyle="1" w:styleId="1">
    <w:name w:val="标题1"/>
    <w:basedOn w:val="a"/>
    <w:next w:val="a"/>
    <w:qFormat/>
    <w:rsid w:val="00D854EB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z w:val="44"/>
      <w:szCs w:val="20"/>
    </w:rPr>
  </w:style>
  <w:style w:type="paragraph" w:customStyle="1" w:styleId="10">
    <w:name w:val="列出段落1"/>
    <w:basedOn w:val="a"/>
    <w:uiPriority w:val="34"/>
    <w:qFormat/>
    <w:rsid w:val="00D854E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854EB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D854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361</Words>
  <Characters>2064</Characters>
  <Application>Microsoft Office Word</Application>
  <DocSecurity>0</DocSecurity>
  <Lines>17</Lines>
  <Paragraphs>4</Paragraphs>
  <ScaleCrop>false</ScaleCrop>
  <Company>微软公司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社渚镇文印室</cp:lastModifiedBy>
  <cp:revision>42</cp:revision>
  <cp:lastPrinted>2023-01-04T07:29:00Z</cp:lastPrinted>
  <dcterms:created xsi:type="dcterms:W3CDTF">2019-12-02T14:43:00Z</dcterms:created>
  <dcterms:modified xsi:type="dcterms:W3CDTF">2023-01-13T02:20:00Z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B87F7C611E094000859CE8A12AB3270B</vt:lpwstr>
  </property>
</Properties>
</file>