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B6D52A" w14:textId="77777777" w:rsidR="0008557B" w:rsidRDefault="00000000">
      <w:pPr>
        <w:spacing w:before="156" w:after="156" w:line="600" w:lineRule="exact"/>
        <w:ind w:left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</w:rPr>
        <w:t>年财政预算执行情况及2023年预算（草案）的报告</w:t>
      </w:r>
    </w:p>
    <w:p w14:paraId="161C5D0A" w14:textId="10BC1A83" w:rsidR="0008557B" w:rsidRDefault="00000000">
      <w:pPr>
        <w:widowControl/>
        <w:spacing w:before="156" w:after="156" w:line="600" w:lineRule="exact"/>
        <w:ind w:left="0" w:firstLine="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-</w:t>
      </w:r>
      <w:r>
        <w:rPr>
          <w:rFonts w:ascii="楷体" w:eastAsia="楷体" w:hAnsi="楷体" w:cs="楷体" w:hint="eastAsia"/>
          <w:spacing w:val="-10"/>
          <w:sz w:val="32"/>
          <w:szCs w:val="32"/>
        </w:rPr>
        <w:t>2023年1月1日在</w:t>
      </w:r>
      <w:r>
        <w:rPr>
          <w:rFonts w:ascii="楷体" w:eastAsia="楷体" w:hAnsi="楷体" w:cs="楷体" w:hint="eastAsia"/>
          <w:sz w:val="32"/>
          <w:szCs w:val="32"/>
        </w:rPr>
        <w:t>埭头镇第十八届人民代表大会第</w:t>
      </w:r>
      <w:r w:rsidR="00D8219A"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次会议上</w:t>
      </w:r>
    </w:p>
    <w:p w14:paraId="592A05A0" w14:textId="77777777" w:rsidR="0008557B" w:rsidRDefault="00000000">
      <w:pPr>
        <w:widowControl/>
        <w:spacing w:before="156" w:after="156" w:line="600" w:lineRule="exact"/>
        <w:ind w:left="0" w:firstLine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朱国方</w:t>
      </w:r>
    </w:p>
    <w:p w14:paraId="3C269F6B" w14:textId="77777777" w:rsidR="0008557B" w:rsidRDefault="00000000">
      <w:pPr>
        <w:spacing w:before="156" w:after="156" w:line="560" w:lineRule="exact"/>
        <w:ind w:left="0" w:firstLine="0"/>
        <w:rPr>
          <w:rFonts w:ascii="华文仿宋" w:eastAsia="华文仿宋" w:hAnsi="华文仿宋" w:cs="仿宋_GB2312"/>
          <w:sz w:val="36"/>
          <w:szCs w:val="36"/>
        </w:rPr>
      </w:pPr>
      <w:r>
        <w:rPr>
          <w:rFonts w:ascii="华文仿宋" w:eastAsia="华文仿宋" w:hAnsi="华文仿宋" w:cs="仿宋_GB2312" w:hint="eastAsia"/>
          <w:sz w:val="36"/>
          <w:szCs w:val="36"/>
        </w:rPr>
        <w:t>各位代表：</w:t>
      </w:r>
    </w:p>
    <w:p w14:paraId="30BEB2F9" w14:textId="77777777" w:rsidR="0008557B" w:rsidRDefault="00000000">
      <w:pPr>
        <w:spacing w:before="156" w:after="156" w:line="560" w:lineRule="exact"/>
        <w:ind w:left="0" w:firstLine="640"/>
        <w:rPr>
          <w:rFonts w:ascii="华文仿宋" w:eastAsia="华文仿宋" w:hAnsi="华文仿宋" w:cs="仿宋_GB2312"/>
          <w:sz w:val="36"/>
          <w:szCs w:val="36"/>
        </w:rPr>
      </w:pPr>
      <w:r>
        <w:rPr>
          <w:rFonts w:ascii="华文仿宋" w:eastAsia="华文仿宋" w:hAnsi="华文仿宋" w:cs="仿宋_GB2312" w:hint="eastAsia"/>
          <w:sz w:val="36"/>
          <w:szCs w:val="36"/>
        </w:rPr>
        <w:t>我受镇人民政府的委托，向大会提出我镇2022年财政预算执行情况和2023年财政预算（草案）的报告，请予审议。</w:t>
      </w:r>
    </w:p>
    <w:p w14:paraId="1EE4D1E7" w14:textId="77777777" w:rsidR="0008557B" w:rsidRDefault="0008557B">
      <w:pPr>
        <w:spacing w:line="560" w:lineRule="exact"/>
        <w:ind w:left="0" w:firstLine="640"/>
        <w:rPr>
          <w:rFonts w:ascii="华文仿宋" w:eastAsia="华文仿宋" w:hAnsi="华文仿宋" w:cs="仿宋_GB2312"/>
          <w:sz w:val="36"/>
          <w:szCs w:val="36"/>
        </w:rPr>
      </w:pPr>
    </w:p>
    <w:p w14:paraId="4B553D6B" w14:textId="77777777" w:rsidR="0008557B" w:rsidRDefault="00000000">
      <w:pPr>
        <w:spacing w:line="560" w:lineRule="exact"/>
        <w:ind w:left="0" w:firstLine="0"/>
        <w:jc w:val="center"/>
        <w:rPr>
          <w:rFonts w:ascii="宋体" w:hAnsi="宋体" w:cs="仿宋_GB2312"/>
          <w:bCs/>
          <w:sz w:val="36"/>
          <w:szCs w:val="36"/>
        </w:rPr>
      </w:pPr>
      <w:r>
        <w:rPr>
          <w:rFonts w:ascii="宋体" w:hAnsi="宋体" w:cs="仿宋_GB2312" w:hint="eastAsia"/>
          <w:bCs/>
          <w:sz w:val="36"/>
          <w:szCs w:val="36"/>
        </w:rPr>
        <w:t>2022年财政预算执行情况</w:t>
      </w:r>
    </w:p>
    <w:p w14:paraId="20221C0C" w14:textId="77777777" w:rsidR="0008557B" w:rsidRDefault="00000000">
      <w:pPr>
        <w:spacing w:line="560" w:lineRule="exact"/>
        <w:ind w:left="0" w:firstLineChars="227" w:firstLine="817"/>
        <w:rPr>
          <w:rFonts w:ascii="华文仿宋" w:eastAsia="华文仿宋" w:hAnsi="华文仿宋" w:cs="仿宋_GB2312"/>
          <w:sz w:val="36"/>
          <w:szCs w:val="36"/>
        </w:rPr>
      </w:pPr>
      <w:r>
        <w:rPr>
          <w:rFonts w:ascii="华文仿宋" w:eastAsia="华文仿宋" w:hAnsi="华文仿宋" w:cs="仿宋_GB2312" w:hint="eastAsia"/>
          <w:sz w:val="36"/>
          <w:szCs w:val="36"/>
        </w:rPr>
        <w:t>2022年，财政部门坚持以习近平新时代中国特色社会主义思想为指导，在镇党委政府的坚强领导下，沉着应对新冠疫情、经济下行、减税降费等诸多挑战，紧紧围绕</w:t>
      </w:r>
      <w:r>
        <w:rPr>
          <w:rFonts w:ascii="华文仿宋" w:eastAsia="华文仿宋" w:hAnsi="华文仿宋" w:cs="仿宋_GB2312"/>
          <w:sz w:val="36"/>
          <w:szCs w:val="36"/>
        </w:rPr>
        <w:t>“绿色崛起样板镇，常溧一体先行区”</w:t>
      </w:r>
      <w:r>
        <w:rPr>
          <w:rFonts w:hint="eastAsia"/>
          <w:sz w:val="32"/>
          <w:szCs w:val="32"/>
        </w:rPr>
        <w:t>发展主线，</w:t>
      </w:r>
      <w:r>
        <w:rPr>
          <w:rFonts w:ascii="华文仿宋" w:eastAsia="华文仿宋" w:hAnsi="华文仿宋" w:cs="仿宋_GB2312" w:hint="eastAsia"/>
          <w:sz w:val="36"/>
          <w:szCs w:val="36"/>
        </w:rPr>
        <w:t>努力发挥财政各项职能，围绕全年目标任务，积极组织财政收入，不断优化支出结构。经过共同努力，实现了全年财政收支平衡。</w:t>
      </w:r>
    </w:p>
    <w:p w14:paraId="579ABA98" w14:textId="77777777" w:rsidR="0008557B" w:rsidRDefault="00000000">
      <w:pPr>
        <w:spacing w:line="560" w:lineRule="exact"/>
        <w:ind w:left="0" w:firstLine="6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一、财政收入完成情况</w:t>
      </w:r>
    </w:p>
    <w:p w14:paraId="65F548EF" w14:textId="064D0CA9" w:rsidR="0008557B" w:rsidRDefault="00000000">
      <w:pPr>
        <w:spacing w:line="560" w:lineRule="exact"/>
        <w:ind w:left="0" w:firstLine="640"/>
        <w:rPr>
          <w:rFonts w:ascii="华文仿宋" w:eastAsia="华文仿宋" w:hAnsi="华文仿宋" w:cs="仿宋_GB2312"/>
          <w:sz w:val="36"/>
          <w:szCs w:val="36"/>
        </w:rPr>
      </w:pPr>
      <w:r>
        <w:rPr>
          <w:rFonts w:ascii="华文仿宋" w:eastAsia="华文仿宋" w:hAnsi="华文仿宋" w:cs="仿宋_GB2312" w:hint="eastAsia"/>
          <w:sz w:val="36"/>
          <w:szCs w:val="36"/>
        </w:rPr>
        <w:t>2022年我镇共完成财政全口径收入</w:t>
      </w:r>
      <w:r w:rsidR="00142C33">
        <w:rPr>
          <w:rFonts w:ascii="华文仿宋" w:eastAsia="华文仿宋" w:hAnsi="华文仿宋" w:cs="仿宋_GB2312"/>
          <w:sz w:val="36"/>
          <w:szCs w:val="36"/>
        </w:rPr>
        <w:t>4.0</w:t>
      </w:r>
      <w:r w:rsidR="00D8219A">
        <w:rPr>
          <w:rFonts w:ascii="华文仿宋" w:eastAsia="华文仿宋" w:hAnsi="华文仿宋" w:cs="仿宋_GB2312"/>
          <w:sz w:val="36"/>
          <w:szCs w:val="36"/>
        </w:rPr>
        <w:t>9</w:t>
      </w:r>
      <w:r>
        <w:rPr>
          <w:rFonts w:ascii="华文仿宋" w:eastAsia="华文仿宋" w:hAnsi="华文仿宋" w:cs="仿宋_GB2312" w:hint="eastAsia"/>
          <w:sz w:val="36"/>
          <w:szCs w:val="36"/>
        </w:rPr>
        <w:t>亿元</w:t>
      </w:r>
      <w:r w:rsidR="00F121AE">
        <w:rPr>
          <w:rFonts w:ascii="华文仿宋" w:eastAsia="华文仿宋" w:hAnsi="华文仿宋" w:cs="仿宋_GB2312" w:hint="eastAsia"/>
          <w:sz w:val="36"/>
          <w:szCs w:val="36"/>
        </w:rPr>
        <w:t>（剔除建筑业，下同）</w:t>
      </w:r>
      <w:r>
        <w:rPr>
          <w:rFonts w:ascii="华文仿宋" w:eastAsia="华文仿宋" w:hAnsi="华文仿宋" w:cs="仿宋_GB2312" w:hint="eastAsia"/>
          <w:sz w:val="36"/>
          <w:szCs w:val="36"/>
        </w:rPr>
        <w:t>，比2021年的3.12亿增加</w:t>
      </w:r>
      <w:r w:rsidR="00142C33">
        <w:rPr>
          <w:rFonts w:ascii="华文仿宋" w:eastAsia="华文仿宋" w:hAnsi="华文仿宋" w:cs="仿宋_GB2312"/>
          <w:sz w:val="36"/>
          <w:szCs w:val="36"/>
        </w:rPr>
        <w:t>9</w:t>
      </w:r>
      <w:r w:rsidR="00D8219A">
        <w:rPr>
          <w:rFonts w:ascii="华文仿宋" w:eastAsia="华文仿宋" w:hAnsi="华文仿宋" w:cs="仿宋_GB2312"/>
          <w:sz w:val="36"/>
          <w:szCs w:val="36"/>
        </w:rPr>
        <w:t>7</w:t>
      </w:r>
      <w:r w:rsidR="00142C33">
        <w:rPr>
          <w:rFonts w:ascii="华文仿宋" w:eastAsia="华文仿宋" w:hAnsi="华文仿宋" w:cs="仿宋_GB2312"/>
          <w:sz w:val="36"/>
          <w:szCs w:val="36"/>
        </w:rPr>
        <w:t>00</w:t>
      </w:r>
      <w:r>
        <w:rPr>
          <w:rFonts w:ascii="华文仿宋" w:eastAsia="华文仿宋" w:hAnsi="华文仿宋" w:cs="仿宋_GB2312" w:hint="eastAsia"/>
          <w:sz w:val="36"/>
          <w:szCs w:val="36"/>
        </w:rPr>
        <w:t>万元。完成一般公共预算收入2.</w:t>
      </w:r>
      <w:r w:rsidR="00142C33">
        <w:rPr>
          <w:rFonts w:ascii="华文仿宋" w:eastAsia="华文仿宋" w:hAnsi="华文仿宋" w:cs="仿宋_GB2312"/>
          <w:sz w:val="36"/>
          <w:szCs w:val="36"/>
        </w:rPr>
        <w:t>1</w:t>
      </w:r>
      <w:r w:rsidR="00D8219A">
        <w:rPr>
          <w:rFonts w:ascii="华文仿宋" w:eastAsia="华文仿宋" w:hAnsi="华文仿宋" w:cs="仿宋_GB2312"/>
          <w:sz w:val="36"/>
          <w:szCs w:val="36"/>
        </w:rPr>
        <w:t>3</w:t>
      </w:r>
      <w:r>
        <w:rPr>
          <w:rFonts w:ascii="华文仿宋" w:eastAsia="华文仿宋" w:hAnsi="华文仿宋" w:cs="仿宋_GB2312" w:hint="eastAsia"/>
          <w:sz w:val="36"/>
          <w:szCs w:val="36"/>
        </w:rPr>
        <w:t>亿元，跻身2亿元行列，收入水平迈上新台阶。</w:t>
      </w:r>
    </w:p>
    <w:p w14:paraId="5C76A612" w14:textId="77777777" w:rsidR="0008557B" w:rsidRDefault="00000000">
      <w:pPr>
        <w:spacing w:before="100" w:after="80" w:line="560" w:lineRule="exact"/>
        <w:ind w:left="0" w:firstLineChars="200" w:firstLine="720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lastRenderedPageBreak/>
        <w:t>二、公共预算支出情况</w:t>
      </w:r>
    </w:p>
    <w:p w14:paraId="4ECDF607" w14:textId="3E30E7F8" w:rsidR="0008557B" w:rsidRDefault="00000000">
      <w:pPr>
        <w:spacing w:line="560" w:lineRule="exact"/>
        <w:ind w:left="0" w:firstLineChars="250" w:firstLine="90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/>
          <w:sz w:val="36"/>
          <w:szCs w:val="36"/>
        </w:rPr>
        <w:t>按照现行财政管理体制，</w:t>
      </w:r>
      <w:r>
        <w:rPr>
          <w:rFonts w:ascii="华文仿宋" w:eastAsia="华文仿宋" w:hAnsi="华文仿宋" w:hint="eastAsia"/>
          <w:sz w:val="36"/>
          <w:szCs w:val="36"/>
        </w:rPr>
        <w:t>2022</w:t>
      </w:r>
      <w:r>
        <w:rPr>
          <w:rFonts w:ascii="华文仿宋" w:eastAsia="华文仿宋" w:hAnsi="华文仿宋"/>
          <w:sz w:val="36"/>
          <w:szCs w:val="36"/>
        </w:rPr>
        <w:t>年我镇财政预算收入可用财力为</w:t>
      </w:r>
      <w:r w:rsidR="00E13125">
        <w:rPr>
          <w:rFonts w:ascii="华文仿宋" w:eastAsia="华文仿宋" w:hAnsi="华文仿宋"/>
          <w:sz w:val="36"/>
          <w:szCs w:val="36"/>
        </w:rPr>
        <w:t>8064</w:t>
      </w:r>
      <w:r>
        <w:rPr>
          <w:rFonts w:ascii="华文仿宋" w:eastAsia="华文仿宋" w:hAnsi="华文仿宋"/>
          <w:sz w:val="36"/>
          <w:szCs w:val="36"/>
        </w:rPr>
        <w:t>万元</w:t>
      </w:r>
      <w:r>
        <w:rPr>
          <w:rFonts w:ascii="华文仿宋" w:eastAsia="华文仿宋" w:hAnsi="华文仿宋" w:hint="eastAsia"/>
          <w:sz w:val="36"/>
          <w:szCs w:val="36"/>
        </w:rPr>
        <w:t>。</w:t>
      </w:r>
      <w:r>
        <w:rPr>
          <w:rFonts w:ascii="华文仿宋" w:eastAsia="华文仿宋" w:hAnsi="华文仿宋"/>
          <w:sz w:val="36"/>
          <w:szCs w:val="36"/>
        </w:rPr>
        <w:t>20</w:t>
      </w:r>
      <w:r>
        <w:rPr>
          <w:rFonts w:ascii="华文仿宋" w:eastAsia="华文仿宋" w:hAnsi="华文仿宋" w:hint="eastAsia"/>
          <w:sz w:val="36"/>
          <w:szCs w:val="36"/>
        </w:rPr>
        <w:t>22</w:t>
      </w:r>
      <w:r>
        <w:rPr>
          <w:rFonts w:ascii="华文仿宋" w:eastAsia="华文仿宋" w:hAnsi="华文仿宋"/>
          <w:sz w:val="36"/>
          <w:szCs w:val="36"/>
        </w:rPr>
        <w:t>年度我镇实际完成</w:t>
      </w:r>
      <w:r>
        <w:rPr>
          <w:rFonts w:ascii="华文仿宋" w:eastAsia="华文仿宋" w:hAnsi="华文仿宋" w:hint="eastAsia"/>
          <w:sz w:val="36"/>
          <w:szCs w:val="36"/>
        </w:rPr>
        <w:t>公共预算</w:t>
      </w:r>
      <w:r>
        <w:rPr>
          <w:rFonts w:ascii="华文仿宋" w:eastAsia="华文仿宋" w:hAnsi="华文仿宋"/>
          <w:sz w:val="36"/>
          <w:szCs w:val="36"/>
        </w:rPr>
        <w:t>支出</w:t>
      </w:r>
      <w:r w:rsidR="00E13125">
        <w:rPr>
          <w:rFonts w:ascii="华文仿宋" w:eastAsia="华文仿宋" w:hAnsi="华文仿宋"/>
          <w:sz w:val="36"/>
          <w:szCs w:val="36"/>
        </w:rPr>
        <w:t>8064</w:t>
      </w:r>
      <w:r>
        <w:rPr>
          <w:rFonts w:ascii="华文仿宋" w:eastAsia="华文仿宋" w:hAnsi="华文仿宋"/>
          <w:sz w:val="36"/>
          <w:szCs w:val="36"/>
        </w:rPr>
        <w:t>万元。</w:t>
      </w:r>
    </w:p>
    <w:p w14:paraId="4E643D30" w14:textId="77777777" w:rsidR="0008557B" w:rsidRDefault="00000000">
      <w:pPr>
        <w:spacing w:before="60" w:after="80" w:line="560" w:lineRule="exact"/>
        <w:ind w:left="0" w:firstLine="640"/>
        <w:rPr>
          <w:rFonts w:ascii="华文仿宋" w:eastAsia="华文仿宋" w:hAnsi="华文仿宋" w:cs="仿宋_GB2312"/>
          <w:sz w:val="36"/>
          <w:szCs w:val="36"/>
        </w:rPr>
      </w:pPr>
      <w:r>
        <w:rPr>
          <w:rFonts w:ascii="华文仿宋" w:eastAsia="华文仿宋" w:hAnsi="华文仿宋" w:cs="仿宋_GB2312" w:hint="eastAsia"/>
          <w:sz w:val="36"/>
          <w:szCs w:val="36"/>
        </w:rPr>
        <w:t>一般公共预算支出主要项目预算执行情况是:</w:t>
      </w:r>
    </w:p>
    <w:p w14:paraId="768C41B0" w14:textId="6A020925" w:rsidR="0008557B" w:rsidRDefault="00000000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bookmarkStart w:id="0" w:name="_Hlk125022321"/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1. 一般公共服务支出</w:t>
      </w:r>
      <w:r w:rsidR="00E13125">
        <w:rPr>
          <w:rFonts w:ascii="华文仿宋" w:eastAsia="华文仿宋" w:hAnsi="华文仿宋" w:cs="仿宋_GB2312"/>
          <w:color w:val="000000"/>
          <w:sz w:val="36"/>
          <w:szCs w:val="36"/>
        </w:rPr>
        <w:t>2447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万元，主要用于日常运转、</w:t>
      </w:r>
    </w:p>
    <w:p w14:paraId="7DC0E250" w14:textId="77777777" w:rsidR="0008557B" w:rsidRDefault="00000000">
      <w:pPr>
        <w:spacing w:before="60" w:after="80" w:line="560" w:lineRule="exact"/>
        <w:ind w:left="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人员经费等；</w:t>
      </w:r>
    </w:p>
    <w:p w14:paraId="11F8A718" w14:textId="5F869007" w:rsidR="0006527E" w:rsidRDefault="00000000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 xml:space="preserve">2. </w:t>
      </w:r>
      <w:r w:rsidR="0006527E">
        <w:rPr>
          <w:rFonts w:ascii="华文仿宋" w:eastAsia="华文仿宋" w:hAnsi="华文仿宋" w:cs="仿宋_GB2312" w:hint="eastAsia"/>
          <w:color w:val="000000"/>
          <w:sz w:val="36"/>
          <w:szCs w:val="36"/>
        </w:rPr>
        <w:t>公共安全支出1</w:t>
      </w:r>
      <w:r w:rsidR="0006527E">
        <w:rPr>
          <w:rFonts w:ascii="华文仿宋" w:eastAsia="华文仿宋" w:hAnsi="华文仿宋" w:cs="仿宋_GB2312"/>
          <w:color w:val="000000"/>
          <w:sz w:val="36"/>
          <w:szCs w:val="36"/>
        </w:rPr>
        <w:t>26</w:t>
      </w:r>
      <w:r w:rsidR="0006527E"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万元，主要用于辅警人员镇区负担支出；</w:t>
      </w:r>
    </w:p>
    <w:p w14:paraId="48503555" w14:textId="76AF61CF" w:rsidR="0006527E" w:rsidRDefault="0006527E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3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教育支出3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00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万元，主要用于埭头中心小学新建教学楼建设工程支出；</w:t>
      </w:r>
    </w:p>
    <w:p w14:paraId="6BB70E1F" w14:textId="378BD5DA" w:rsidR="0008557B" w:rsidRDefault="0006527E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4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文化旅游体育与传媒支出3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3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万元，主要用于开展</w:t>
      </w:r>
    </w:p>
    <w:p w14:paraId="68A5AD3A" w14:textId="77777777" w:rsidR="0008557B" w:rsidRDefault="00000000">
      <w:pPr>
        <w:spacing w:before="60" w:after="80" w:line="560" w:lineRule="exact"/>
        <w:ind w:left="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公共文化服务项目、改善基层公共文化体育设施等；</w:t>
      </w:r>
    </w:p>
    <w:p w14:paraId="36F36E8D" w14:textId="0CCE0BBF" w:rsidR="0008557B" w:rsidRDefault="0006527E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5.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社会保障和就业支出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93</w:t>
      </w:r>
      <w:r w:rsidR="005323B3">
        <w:rPr>
          <w:rFonts w:ascii="华文仿宋" w:eastAsia="华文仿宋" w:hAnsi="华文仿宋" w:cs="仿宋_GB2312"/>
          <w:color w:val="000000"/>
          <w:sz w:val="36"/>
          <w:szCs w:val="36"/>
        </w:rPr>
        <w:t>3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万元，主要用于民生保障</w:t>
      </w:r>
    </w:p>
    <w:p w14:paraId="33E4E0F4" w14:textId="77777777" w:rsidR="0008557B" w:rsidRDefault="00000000">
      <w:pPr>
        <w:spacing w:before="60" w:after="80" w:line="560" w:lineRule="exact"/>
        <w:ind w:left="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等；</w:t>
      </w:r>
    </w:p>
    <w:p w14:paraId="285BB3F2" w14:textId="5E987678" w:rsidR="0008557B" w:rsidRDefault="0006527E" w:rsidP="0006527E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6.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卫生健康支出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604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万元，主要用于公共卫生服务、新农合配套等；</w:t>
      </w:r>
    </w:p>
    <w:p w14:paraId="61131577" w14:textId="7ACE1EAF" w:rsidR="0008557B" w:rsidRDefault="0006527E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7.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城乡社区支出6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44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万元，主要用于城乡规划和小城</w:t>
      </w:r>
    </w:p>
    <w:p w14:paraId="342B6C2B" w14:textId="77777777" w:rsidR="0008557B" w:rsidRDefault="00000000">
      <w:pPr>
        <w:spacing w:before="60" w:after="80" w:line="560" w:lineRule="exact"/>
        <w:ind w:left="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镇基础设施建设；</w:t>
      </w:r>
    </w:p>
    <w:p w14:paraId="00E183B8" w14:textId="70FFC3D8" w:rsidR="0008557B" w:rsidRDefault="0006527E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8.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农林水支出1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001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万元，主要用于农村生态保护与资源利用及涉农补贴等；</w:t>
      </w:r>
    </w:p>
    <w:p w14:paraId="3F7FFC0D" w14:textId="1FC93847" w:rsidR="0006527E" w:rsidRDefault="0006527E" w:rsidP="0006527E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lastRenderedPageBreak/>
        <w:t>9.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资源勘探信息等支出2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70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万元，主要用于支持中小企业发展和管理；</w:t>
      </w:r>
    </w:p>
    <w:p w14:paraId="6686D201" w14:textId="5FB8100F" w:rsidR="0008557B" w:rsidRDefault="005323B3" w:rsidP="0006527E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1</w:t>
      </w:r>
      <w:r>
        <w:rPr>
          <w:rFonts w:ascii="华文仿宋" w:eastAsia="华文仿宋" w:hAnsi="华文仿宋"/>
          <w:sz w:val="36"/>
          <w:szCs w:val="36"/>
        </w:rPr>
        <w:t>0.</w:t>
      </w:r>
      <w:r>
        <w:rPr>
          <w:rFonts w:ascii="华文仿宋" w:eastAsia="华文仿宋" w:hAnsi="华文仿宋" w:hint="eastAsia"/>
          <w:sz w:val="36"/>
          <w:szCs w:val="36"/>
        </w:rPr>
        <w:t>援助其他地区支出</w:t>
      </w:r>
      <w:r>
        <w:rPr>
          <w:rFonts w:ascii="华文仿宋" w:eastAsia="华文仿宋" w:hAnsi="华文仿宋"/>
          <w:sz w:val="36"/>
          <w:szCs w:val="36"/>
        </w:rPr>
        <w:t>98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万元，主要用于援藏、援疆、援青支出；</w:t>
      </w:r>
    </w:p>
    <w:p w14:paraId="5D3357FD" w14:textId="629B4354" w:rsidR="0008557B" w:rsidRDefault="005323B3">
      <w:pPr>
        <w:spacing w:before="60" w:after="80" w:line="560" w:lineRule="exact"/>
        <w:ind w:left="640" w:firstLine="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11.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住房保障支出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326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万元；</w:t>
      </w:r>
    </w:p>
    <w:p w14:paraId="78526EE3" w14:textId="77777777" w:rsidR="005323B3" w:rsidRDefault="005323B3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12.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灾害防治及应急管理支出5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8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万元，主要用于消防站镇区补助；</w:t>
      </w:r>
    </w:p>
    <w:p w14:paraId="15C3723C" w14:textId="4B36B4A9" w:rsidR="0008557B" w:rsidRDefault="005323B3">
      <w:pPr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/>
          <w:color w:val="000000"/>
          <w:sz w:val="36"/>
          <w:szCs w:val="36"/>
        </w:rPr>
        <w:t>13.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债务付息支出</w:t>
      </w:r>
      <w:r>
        <w:rPr>
          <w:rFonts w:ascii="华文仿宋" w:eastAsia="华文仿宋" w:hAnsi="华文仿宋" w:cs="仿宋_GB2312"/>
          <w:color w:val="000000"/>
          <w:sz w:val="36"/>
          <w:szCs w:val="36"/>
        </w:rPr>
        <w:t>1224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万元</w:t>
      </w:r>
      <w:r w:rsidRPr="009521A9">
        <w:rPr>
          <w:rFonts w:ascii="华文仿宋" w:eastAsia="华文仿宋" w:hAnsi="华文仿宋" w:cs="仿宋_GB2312" w:hint="eastAsia"/>
          <w:color w:val="000000" w:themeColor="text1"/>
          <w:sz w:val="36"/>
          <w:szCs w:val="36"/>
        </w:rPr>
        <w:t>（其中还本</w:t>
      </w:r>
      <w:r w:rsidR="009521A9" w:rsidRPr="009521A9">
        <w:rPr>
          <w:rFonts w:ascii="华文仿宋" w:eastAsia="华文仿宋" w:hAnsi="华文仿宋" w:cs="仿宋_GB2312"/>
          <w:color w:val="000000" w:themeColor="text1"/>
          <w:sz w:val="36"/>
          <w:szCs w:val="36"/>
        </w:rPr>
        <w:t>300</w:t>
      </w:r>
      <w:r w:rsidRPr="009521A9">
        <w:rPr>
          <w:rFonts w:ascii="华文仿宋" w:eastAsia="华文仿宋" w:hAnsi="华文仿宋" w:cs="仿宋_GB2312" w:hint="eastAsia"/>
          <w:color w:val="000000" w:themeColor="text1"/>
          <w:sz w:val="36"/>
          <w:szCs w:val="36"/>
        </w:rPr>
        <w:t>万元）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，主要用于国债利息支出。</w:t>
      </w:r>
    </w:p>
    <w:bookmarkEnd w:id="0"/>
    <w:p w14:paraId="19F13D33" w14:textId="7006CE04" w:rsidR="0008557B" w:rsidRPr="00D048DF" w:rsidRDefault="00000000" w:rsidP="00D048DF">
      <w:pPr>
        <w:spacing w:line="570" w:lineRule="exact"/>
        <w:ind w:left="0" w:firstLineChars="200" w:firstLine="72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2022年我镇财政预算执行总体平稳，这主要得益于镇党委、镇政府的正确领导和科学决策，得益于镇各部门的大力支持，是大家共同努力的结果。</w:t>
      </w:r>
      <w:r>
        <w:rPr>
          <w:rFonts w:ascii="华文仿宋" w:eastAsia="华文仿宋" w:hAnsi="华文仿宋"/>
          <w:sz w:val="36"/>
          <w:szCs w:val="36"/>
        </w:rPr>
        <w:t>在肯定成绩的同时，我们也要清醒地认识到镇财政面临的困难与问题，主要表现在：一是新冠疫情</w:t>
      </w:r>
      <w:r>
        <w:rPr>
          <w:rFonts w:ascii="华文仿宋" w:eastAsia="华文仿宋" w:hAnsi="华文仿宋" w:hint="eastAsia"/>
          <w:sz w:val="36"/>
          <w:szCs w:val="36"/>
        </w:rPr>
        <w:t>持续</w:t>
      </w:r>
      <w:r>
        <w:rPr>
          <w:rFonts w:ascii="华文仿宋" w:eastAsia="华文仿宋" w:hAnsi="华文仿宋"/>
          <w:sz w:val="36"/>
          <w:szCs w:val="36"/>
        </w:rPr>
        <w:t>对我镇各行业的税收产生不利影响；二是民生工程和社会保障经费的大幅度提高，</w:t>
      </w:r>
      <w:r>
        <w:rPr>
          <w:rFonts w:ascii="华文仿宋" w:eastAsia="华文仿宋" w:hAnsi="华文仿宋" w:hint="eastAsia"/>
          <w:sz w:val="36"/>
          <w:szCs w:val="36"/>
        </w:rPr>
        <w:t>保工资、保民生、保运转压力加大</w:t>
      </w:r>
      <w:r>
        <w:rPr>
          <w:rFonts w:ascii="华文仿宋" w:eastAsia="华文仿宋" w:hAnsi="华文仿宋"/>
          <w:sz w:val="36"/>
          <w:szCs w:val="36"/>
        </w:rPr>
        <w:t>；</w:t>
      </w:r>
      <w:r>
        <w:rPr>
          <w:rFonts w:ascii="华文仿宋" w:eastAsia="华文仿宋" w:hAnsi="华文仿宋" w:hint="eastAsia"/>
          <w:sz w:val="36"/>
          <w:szCs w:val="36"/>
        </w:rPr>
        <w:t>三</w:t>
      </w:r>
      <w:r>
        <w:rPr>
          <w:rFonts w:ascii="华文仿宋" w:eastAsia="华文仿宋" w:hAnsi="华文仿宋"/>
          <w:sz w:val="36"/>
          <w:szCs w:val="36"/>
        </w:rPr>
        <w:t>是镇行政机关、事业部门的预算管理有待</w:t>
      </w:r>
      <w:r>
        <w:rPr>
          <w:rFonts w:ascii="华文仿宋" w:eastAsia="华文仿宋" w:hAnsi="华文仿宋" w:hint="eastAsia"/>
          <w:sz w:val="36"/>
          <w:szCs w:val="36"/>
        </w:rPr>
        <w:t>进一步</w:t>
      </w:r>
      <w:r>
        <w:rPr>
          <w:rFonts w:ascii="华文仿宋" w:eastAsia="华文仿宋" w:hAnsi="华文仿宋"/>
          <w:sz w:val="36"/>
          <w:szCs w:val="36"/>
        </w:rPr>
        <w:t>提高。</w:t>
      </w:r>
      <w:r>
        <w:rPr>
          <w:rFonts w:ascii="华文仿宋" w:eastAsia="华文仿宋" w:hAnsi="华文仿宋" w:hint="eastAsia"/>
          <w:sz w:val="36"/>
          <w:szCs w:val="36"/>
        </w:rPr>
        <w:t>这些问题我们将切实采取有效措施在今后的工作中加以解决。</w:t>
      </w:r>
    </w:p>
    <w:p w14:paraId="56C58A11" w14:textId="77777777" w:rsidR="0008557B" w:rsidRDefault="00000000">
      <w:pPr>
        <w:pStyle w:val="ac"/>
        <w:spacing w:before="156" w:after="156" w:line="560" w:lineRule="exact"/>
        <w:ind w:leftChars="630" w:left="1260" w:firstLineChars="250" w:firstLine="900"/>
        <w:rPr>
          <w:rFonts w:ascii="宋体" w:hAnsi="宋体" w:cs="仿宋_GB2312"/>
          <w:color w:val="000000"/>
          <w:sz w:val="36"/>
          <w:szCs w:val="36"/>
        </w:rPr>
      </w:pPr>
      <w:r>
        <w:rPr>
          <w:rFonts w:ascii="宋体" w:hAnsi="宋体" w:cs="黑体" w:hint="eastAsia"/>
          <w:color w:val="000000"/>
          <w:sz w:val="36"/>
          <w:szCs w:val="36"/>
        </w:rPr>
        <w:t>2023年财政预算（草案）</w:t>
      </w:r>
    </w:p>
    <w:p w14:paraId="0E869B94" w14:textId="24954E9D" w:rsidR="005C41D4" w:rsidRDefault="005C41D4" w:rsidP="005C41D4">
      <w:pPr>
        <w:spacing w:line="57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一、</w:t>
      </w:r>
      <w:r>
        <w:rPr>
          <w:rFonts w:ascii="华文仿宋" w:eastAsia="华文仿宋" w:hAnsi="华文仿宋" w:hint="eastAsia"/>
          <w:sz w:val="36"/>
          <w:szCs w:val="36"/>
        </w:rPr>
        <w:t>财政</w:t>
      </w:r>
      <w:r>
        <w:rPr>
          <w:rFonts w:ascii="华文仿宋" w:eastAsia="华文仿宋" w:hAnsi="华文仿宋" w:hint="eastAsia"/>
          <w:sz w:val="36"/>
          <w:szCs w:val="36"/>
        </w:rPr>
        <w:t>收入</w:t>
      </w:r>
      <w:r>
        <w:rPr>
          <w:rFonts w:ascii="华文仿宋" w:eastAsia="华文仿宋" w:hAnsi="华文仿宋" w:hint="eastAsia"/>
          <w:sz w:val="36"/>
          <w:szCs w:val="36"/>
        </w:rPr>
        <w:t>预算情况</w:t>
      </w:r>
    </w:p>
    <w:p w14:paraId="734EA562" w14:textId="5C71A2FD" w:rsidR="0008557B" w:rsidRDefault="00000000">
      <w:pPr>
        <w:spacing w:line="570" w:lineRule="exact"/>
        <w:ind w:left="0" w:firstLineChars="200" w:firstLine="72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根据2022年我市财政收入完成情况及当前经济形势分析和 2023年实际支出的需要，2023年财政总收入按</w:t>
      </w:r>
      <w:r>
        <w:rPr>
          <w:rFonts w:ascii="华文仿宋" w:eastAsia="华文仿宋" w:hAnsi="华文仿宋" w:hint="eastAsia"/>
          <w:sz w:val="36"/>
          <w:szCs w:val="36"/>
        </w:rPr>
        <w:lastRenderedPageBreak/>
        <w:t>2022年总收入的10%增幅测算为</w:t>
      </w:r>
      <w:r w:rsidR="005323B3">
        <w:rPr>
          <w:rFonts w:ascii="华文仿宋" w:eastAsia="华文仿宋" w:hAnsi="华文仿宋"/>
          <w:sz w:val="36"/>
          <w:szCs w:val="36"/>
        </w:rPr>
        <w:t>4.5</w:t>
      </w:r>
      <w:r>
        <w:rPr>
          <w:rFonts w:ascii="华文仿宋" w:eastAsia="华文仿宋" w:hAnsi="华文仿宋" w:hint="eastAsia"/>
          <w:sz w:val="36"/>
          <w:szCs w:val="36"/>
        </w:rPr>
        <w:t>亿元。其中：一般公共预算收入</w:t>
      </w:r>
      <w:r w:rsidR="005323B3">
        <w:rPr>
          <w:rFonts w:ascii="华文仿宋" w:eastAsia="华文仿宋" w:hAnsi="华文仿宋"/>
          <w:sz w:val="36"/>
          <w:szCs w:val="36"/>
        </w:rPr>
        <w:t>2.34</w:t>
      </w:r>
      <w:r>
        <w:rPr>
          <w:rFonts w:ascii="华文仿宋" w:eastAsia="华文仿宋" w:hAnsi="华文仿宋" w:hint="eastAsia"/>
          <w:sz w:val="36"/>
          <w:szCs w:val="36"/>
        </w:rPr>
        <w:t>亿元，增长10%，增加</w:t>
      </w:r>
      <w:r w:rsidR="005323B3">
        <w:rPr>
          <w:rFonts w:ascii="华文仿宋" w:eastAsia="华文仿宋" w:hAnsi="华文仿宋" w:hint="eastAsia"/>
          <w:sz w:val="36"/>
          <w:szCs w:val="36"/>
        </w:rPr>
        <w:t>2</w:t>
      </w:r>
      <w:r w:rsidR="005323B3">
        <w:rPr>
          <w:rFonts w:ascii="华文仿宋" w:eastAsia="华文仿宋" w:hAnsi="华文仿宋"/>
          <w:sz w:val="36"/>
          <w:szCs w:val="36"/>
        </w:rPr>
        <w:t>130</w:t>
      </w:r>
      <w:r>
        <w:rPr>
          <w:rFonts w:ascii="华文仿宋" w:eastAsia="华文仿宋" w:hAnsi="华文仿宋" w:hint="eastAsia"/>
          <w:sz w:val="36"/>
          <w:szCs w:val="36"/>
        </w:rPr>
        <w:t>万元。</w:t>
      </w:r>
    </w:p>
    <w:p w14:paraId="1C1D7BED" w14:textId="77777777" w:rsidR="0008557B" w:rsidRDefault="00000000">
      <w:pPr>
        <w:spacing w:line="570" w:lineRule="exact"/>
        <w:ind w:left="0" w:firstLineChars="200" w:firstLine="72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二、财政支出预算情况</w:t>
      </w:r>
    </w:p>
    <w:p w14:paraId="3227E168" w14:textId="77777777" w:rsidR="0008557B" w:rsidRDefault="00000000">
      <w:pPr>
        <w:spacing w:line="570" w:lineRule="exact"/>
        <w:ind w:left="0" w:firstLineChars="200" w:firstLine="720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2023年，我们坚持增收节支和统筹兼顾相结合，一方面注重节用裕民，落实好过“紧日子”要求，另一方面注重资金绩效，在确保重点支出的前提下，合理安排其他各项财政支出。</w:t>
      </w:r>
      <w:r w:rsidRPr="009521A9">
        <w:rPr>
          <w:rFonts w:ascii="华文仿宋" w:eastAsia="华文仿宋" w:hAnsi="华文仿宋" w:hint="eastAsia"/>
          <w:color w:val="000000" w:themeColor="text1"/>
          <w:sz w:val="36"/>
          <w:szCs w:val="36"/>
        </w:rPr>
        <w:t>支出安排的情况如下：</w:t>
      </w:r>
    </w:p>
    <w:p w14:paraId="58C60F79" w14:textId="4B866CE1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1. 一般公共服务支出</w:t>
      </w:r>
      <w:r w:rsidR="009E28F7">
        <w:rPr>
          <w:rFonts w:ascii="华文仿宋" w:eastAsia="华文仿宋" w:hAnsi="华文仿宋"/>
          <w:sz w:val="36"/>
          <w:szCs w:val="36"/>
        </w:rPr>
        <w:t>2500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414C7025" w14:textId="7D9E2B37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2. 公共安全支出</w:t>
      </w:r>
      <w:r w:rsidR="009E28F7">
        <w:rPr>
          <w:rFonts w:ascii="华文仿宋" w:eastAsia="华文仿宋" w:hAnsi="华文仿宋"/>
          <w:sz w:val="36"/>
          <w:szCs w:val="36"/>
        </w:rPr>
        <w:t>100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2C771774" w14:textId="17E75F59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3.教育支出300万元</w:t>
      </w:r>
    </w:p>
    <w:p w14:paraId="70BC693B" w14:textId="1CCD8303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4.文化旅游体育与传媒支出</w:t>
      </w:r>
      <w:r w:rsidR="009E28F7">
        <w:rPr>
          <w:rFonts w:ascii="华文仿宋" w:eastAsia="华文仿宋" w:hAnsi="华文仿宋"/>
          <w:sz w:val="36"/>
          <w:szCs w:val="36"/>
        </w:rPr>
        <w:t>50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245ACC00" w14:textId="2F3FE804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5.社会保障和就业支出</w:t>
      </w:r>
      <w:r w:rsidR="009E28F7">
        <w:rPr>
          <w:rFonts w:ascii="华文仿宋" w:eastAsia="华文仿宋" w:hAnsi="华文仿宋"/>
          <w:sz w:val="36"/>
          <w:szCs w:val="36"/>
        </w:rPr>
        <w:t>950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4A50D099" w14:textId="366A106F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6.卫生健康支出</w:t>
      </w:r>
      <w:r w:rsidR="009E28F7">
        <w:rPr>
          <w:rFonts w:ascii="华文仿宋" w:eastAsia="华文仿宋" w:hAnsi="华文仿宋"/>
          <w:sz w:val="36"/>
          <w:szCs w:val="36"/>
        </w:rPr>
        <w:t>750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7C9ABA05" w14:textId="1D3F9C0A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7.城乡社区支出</w:t>
      </w:r>
      <w:r w:rsidR="009E28F7">
        <w:rPr>
          <w:rFonts w:ascii="华文仿宋" w:eastAsia="华文仿宋" w:hAnsi="华文仿宋"/>
          <w:sz w:val="36"/>
          <w:szCs w:val="36"/>
        </w:rPr>
        <w:t>700</w:t>
      </w:r>
      <w:r w:rsidRPr="005C41D4">
        <w:rPr>
          <w:rFonts w:ascii="华文仿宋" w:eastAsia="华文仿宋" w:hAnsi="华文仿宋" w:hint="eastAsia"/>
          <w:sz w:val="36"/>
          <w:szCs w:val="36"/>
        </w:rPr>
        <w:t>万</w:t>
      </w:r>
      <w:r>
        <w:rPr>
          <w:rFonts w:ascii="华文仿宋" w:eastAsia="华文仿宋" w:hAnsi="华文仿宋" w:hint="eastAsia"/>
          <w:sz w:val="36"/>
          <w:szCs w:val="36"/>
        </w:rPr>
        <w:t>元</w:t>
      </w:r>
    </w:p>
    <w:p w14:paraId="56DF4C06" w14:textId="1DECDC5B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8.农林水支出</w:t>
      </w:r>
      <w:r w:rsidR="009E28F7">
        <w:rPr>
          <w:rFonts w:ascii="华文仿宋" w:eastAsia="华文仿宋" w:hAnsi="华文仿宋"/>
          <w:sz w:val="36"/>
          <w:szCs w:val="36"/>
        </w:rPr>
        <w:t>1050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4F7465E9" w14:textId="280ECAA2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9.资源勘探信息等支出</w:t>
      </w:r>
      <w:r w:rsidR="009E28F7">
        <w:rPr>
          <w:rFonts w:ascii="华文仿宋" w:eastAsia="华文仿宋" w:hAnsi="华文仿宋"/>
          <w:sz w:val="36"/>
          <w:szCs w:val="36"/>
        </w:rPr>
        <w:t>300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3F766C6B" w14:textId="06905324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10.援助其他地区支出</w:t>
      </w:r>
      <w:r w:rsidR="009E28F7">
        <w:rPr>
          <w:rFonts w:ascii="华文仿宋" w:eastAsia="华文仿宋" w:hAnsi="华文仿宋"/>
          <w:sz w:val="36"/>
          <w:szCs w:val="36"/>
        </w:rPr>
        <w:t>100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3D2A175E" w14:textId="1BFD2358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11.住房保障支出</w:t>
      </w:r>
      <w:r w:rsidR="009E28F7">
        <w:rPr>
          <w:rFonts w:ascii="华文仿宋" w:eastAsia="华文仿宋" w:hAnsi="华文仿宋"/>
          <w:sz w:val="36"/>
          <w:szCs w:val="36"/>
        </w:rPr>
        <w:t>400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12CF4A77" w14:textId="691F37B2" w:rsidR="005C41D4" w:rsidRP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 w:hint="eastAsia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12.灾害防治及应急管理支出</w:t>
      </w:r>
      <w:r w:rsidR="009E28F7">
        <w:rPr>
          <w:rFonts w:ascii="华文仿宋" w:eastAsia="华文仿宋" w:hAnsi="华文仿宋"/>
          <w:sz w:val="36"/>
          <w:szCs w:val="36"/>
        </w:rPr>
        <w:t>100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2579BAB6" w14:textId="31E2A85A" w:rsidR="005C41D4" w:rsidRDefault="005C41D4" w:rsidP="005C41D4">
      <w:pPr>
        <w:spacing w:line="560" w:lineRule="exact"/>
        <w:ind w:left="0" w:firstLineChars="200" w:firstLine="720"/>
        <w:rPr>
          <w:rFonts w:ascii="华文仿宋" w:eastAsia="华文仿宋" w:hAnsi="华文仿宋"/>
          <w:sz w:val="36"/>
          <w:szCs w:val="36"/>
        </w:rPr>
      </w:pPr>
      <w:r w:rsidRPr="005C41D4">
        <w:rPr>
          <w:rFonts w:ascii="华文仿宋" w:eastAsia="华文仿宋" w:hAnsi="华文仿宋" w:hint="eastAsia"/>
          <w:sz w:val="36"/>
          <w:szCs w:val="36"/>
        </w:rPr>
        <w:t>13.债务付息支出</w:t>
      </w:r>
      <w:r w:rsidR="009E28F7">
        <w:rPr>
          <w:rFonts w:ascii="华文仿宋" w:eastAsia="华文仿宋" w:hAnsi="华文仿宋"/>
          <w:sz w:val="36"/>
          <w:szCs w:val="36"/>
        </w:rPr>
        <w:t>1200</w:t>
      </w:r>
      <w:r w:rsidRPr="005C41D4">
        <w:rPr>
          <w:rFonts w:ascii="华文仿宋" w:eastAsia="华文仿宋" w:hAnsi="华文仿宋" w:hint="eastAsia"/>
          <w:sz w:val="36"/>
          <w:szCs w:val="36"/>
        </w:rPr>
        <w:t>万元</w:t>
      </w:r>
    </w:p>
    <w:p w14:paraId="47A1E0B1" w14:textId="22E77B81" w:rsidR="0008557B" w:rsidRDefault="00000000" w:rsidP="005C41D4">
      <w:pPr>
        <w:spacing w:line="560" w:lineRule="exact"/>
        <w:ind w:left="0"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三、</w:t>
      </w:r>
      <w:r>
        <w:rPr>
          <w:rFonts w:ascii="宋体" w:hAnsi="宋体"/>
          <w:sz w:val="36"/>
          <w:szCs w:val="36"/>
        </w:rPr>
        <w:t>为完成202</w:t>
      </w:r>
      <w:r>
        <w:rPr>
          <w:rFonts w:ascii="宋体" w:hAnsi="宋体" w:hint="eastAsia"/>
          <w:sz w:val="36"/>
          <w:szCs w:val="36"/>
        </w:rPr>
        <w:t>3</w:t>
      </w:r>
      <w:r>
        <w:rPr>
          <w:rFonts w:ascii="宋体" w:hAnsi="宋体"/>
          <w:sz w:val="36"/>
          <w:szCs w:val="36"/>
        </w:rPr>
        <w:t>年财政工作任务的措施</w:t>
      </w:r>
    </w:p>
    <w:p w14:paraId="2835D053" w14:textId="77777777" w:rsidR="0008557B" w:rsidRDefault="00000000">
      <w:pPr>
        <w:spacing w:before="60" w:after="80" w:line="560" w:lineRule="exact"/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楷体" w:eastAsia="华文楷体" w:hAnsi="华文楷体" w:cs="楷体_GB2312" w:hint="eastAsia"/>
          <w:bCs/>
          <w:color w:val="000000"/>
          <w:sz w:val="36"/>
          <w:szCs w:val="36"/>
        </w:rPr>
        <w:t>（一）积极培植财源，不断增强发展后劲。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一是在财源建设上再加劲，贯彻落实中央出台的各项减税降费政策，用足用好用活上级支持企业发展的各项财政政策，全力支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lastRenderedPageBreak/>
        <w:t>持企业发展；二是配合项目招引做好优惠政策协调，积极筹措资金兑现镇党委、政府出台的扶持企业的激励政策，做大做强创税企业，提高企业的税收贡献率；三是大力配合园区更新，推动闲置资源重组，实施分期收储拆迁企业工作，一期计划收储企业20家，收储面积近800亩，建筑面积36万余平方米。按照镇园区规划进行改造，以“腾笼换鸟”的方式，力争引进一批专精特新企业入驻，从而形成新的税收增长点。</w:t>
      </w:r>
    </w:p>
    <w:p w14:paraId="3385DAD1" w14:textId="77777777" w:rsidR="0008557B" w:rsidRDefault="00000000">
      <w:pPr>
        <w:spacing w:before="60" w:after="80" w:line="560" w:lineRule="exact"/>
        <w:ind w:left="0" w:firstLineChars="200" w:firstLine="720"/>
        <w:rPr>
          <w:rFonts w:ascii="华文仿宋" w:eastAsia="华文仿宋" w:hAnsi="华文仿宋" w:cs="仿宋_GB2312"/>
          <w:color w:val="000000"/>
          <w:sz w:val="36"/>
          <w:szCs w:val="36"/>
        </w:rPr>
      </w:pP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（二）</w:t>
      </w:r>
      <w:r>
        <w:rPr>
          <w:rFonts w:ascii="华文楷体" w:eastAsia="华文楷体" w:hAnsi="华文楷体" w:cs="仿宋_GB2312" w:hint="eastAsia"/>
          <w:color w:val="000000"/>
          <w:sz w:val="36"/>
          <w:szCs w:val="36"/>
        </w:rPr>
        <w:t>坚持增收节支，调整优化支出结构。</w:t>
      </w:r>
      <w:r>
        <w:rPr>
          <w:rFonts w:ascii="华文仿宋" w:eastAsia="华文仿宋" w:hAnsi="华文仿宋" w:cs="仿宋_GB2312" w:hint="eastAsia"/>
          <w:color w:val="000000"/>
          <w:sz w:val="36"/>
          <w:szCs w:val="36"/>
        </w:rPr>
        <w:t>一是在收入上，紧紧围绕全年收入目标任务，加强与税务部门沟通协调，不断提升财政收入质量，做到应收尽收。在支出上，牢固树立过“紧日子”思想，进一步压缩一般性支出，大力调整支出结构，加强重点支出保障力度，提高财政支出效率。二是坚持挖潜增收。努力做好我镇土地综合整治文章，加强与溧阳市平陵公司的深度对接，经营好现有的土地资源，用好增量、盘活存量，实现土地收益最大化。三是紧紧抓住国家发行特别国债及专项债券的有利时机，积极向上争取政策资源，争取更多的直达或专项资金，注入我镇经济社会建设。</w:t>
      </w:r>
    </w:p>
    <w:p w14:paraId="31285586" w14:textId="77777777" w:rsidR="0008557B" w:rsidRDefault="00000000">
      <w:pPr>
        <w:pStyle w:val="a9"/>
        <w:spacing w:before="0" w:beforeAutospacing="0" w:after="0" w:afterAutospacing="0" w:line="560" w:lineRule="exact"/>
        <w:ind w:firstLineChars="150" w:firstLine="540"/>
        <w:jc w:val="both"/>
        <w:rPr>
          <w:rFonts w:ascii="华文楷体" w:eastAsia="华文楷体" w:hAnsi="华文楷体" w:cs="Times New Roman"/>
          <w:bCs/>
          <w:sz w:val="36"/>
          <w:szCs w:val="36"/>
        </w:rPr>
      </w:pPr>
      <w:r>
        <w:rPr>
          <w:rFonts w:ascii="华文楷体" w:eastAsia="华文楷体" w:hAnsi="华文楷体" w:cs="Times New Roman" w:hint="eastAsia"/>
          <w:bCs/>
          <w:sz w:val="36"/>
          <w:szCs w:val="36"/>
        </w:rPr>
        <w:t>（三）深化财政改革，有效</w:t>
      </w:r>
      <w:r>
        <w:rPr>
          <w:rFonts w:ascii="华文楷体" w:eastAsia="华文楷体" w:hAnsi="华文楷体" w:cs="Times New Roman"/>
          <w:bCs/>
          <w:sz w:val="36"/>
          <w:szCs w:val="36"/>
        </w:rPr>
        <w:t>加强财政</w:t>
      </w:r>
      <w:r>
        <w:rPr>
          <w:rFonts w:ascii="华文楷体" w:eastAsia="华文楷体" w:hAnsi="华文楷体" w:cs="Times New Roman" w:hint="eastAsia"/>
          <w:bCs/>
          <w:sz w:val="36"/>
          <w:szCs w:val="36"/>
        </w:rPr>
        <w:t>监督。</w:t>
      </w:r>
      <w:r>
        <w:rPr>
          <w:rFonts w:ascii="华文仿宋" w:eastAsia="华文仿宋" w:hAnsi="华文仿宋" w:cs="Times New Roman" w:hint="eastAsia"/>
          <w:kern w:val="2"/>
          <w:sz w:val="36"/>
          <w:szCs w:val="36"/>
          <w:shd w:val="clear" w:color="auto" w:fill="FFFFFF"/>
        </w:rPr>
        <w:t>一是加强资金监管。将商业银行支付内容纳入集中支付电子化平台集中支付，实现财政预算单位全覆盖、财政资金全覆盖，执行好《溧阳市埭头镇财务管理制度》，保证财政资金支付安全，同时，对纳入镇区的建设资金，按照各类资金管</w:t>
      </w:r>
      <w:r>
        <w:rPr>
          <w:rFonts w:ascii="华文仿宋" w:eastAsia="华文仿宋" w:hAnsi="华文仿宋" w:cs="Times New Roman" w:hint="eastAsia"/>
          <w:kern w:val="2"/>
          <w:sz w:val="36"/>
          <w:szCs w:val="36"/>
          <w:shd w:val="clear" w:color="auto" w:fill="FFFFFF"/>
        </w:rPr>
        <w:lastRenderedPageBreak/>
        <w:t>理办法进行严格管理，实行全过程动态监管，不断提高财政资金使用效率和效益；二是深化财务管理水平。在2022年</w:t>
      </w:r>
      <w:r>
        <w:rPr>
          <w:rFonts w:ascii="华文仿宋" w:eastAsia="华文仿宋" w:hAnsi="华文仿宋" w:cs="仿宋_GB2312" w:hint="eastAsia"/>
          <w:sz w:val="36"/>
          <w:szCs w:val="36"/>
        </w:rPr>
        <w:t>国有平台公司移交的基础上，引入第三方，对政府、各个平台公司的往来款进行全面清理，理清权属关系；三是在预算管理系统运用方面再添新内容，2023提新增江苏省预算管理一体化系统及非税收缴管理系统，努力提升财政信息化工作水平。</w:t>
      </w:r>
    </w:p>
    <w:p w14:paraId="62F9BA32" w14:textId="501A61A5" w:rsidR="0008557B" w:rsidRPr="00D048DF" w:rsidRDefault="00000000" w:rsidP="00D048DF">
      <w:pPr>
        <w:spacing w:before="60" w:after="80" w:line="560" w:lineRule="exact"/>
        <w:ind w:left="0" w:firstLine="640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bCs/>
          <w:color w:val="000000"/>
          <w:sz w:val="36"/>
          <w:szCs w:val="36"/>
        </w:rPr>
        <w:t>各位代表，2023年是贯彻落实党的二十大精神的开局之年，做好新形势下的财政工作任务艰巨，使命光荣。我们以学习贯彻党的二十大精神为引领，在镇党委、政府的坚强领导下，坚定信心，依法理财，扎实工作，为全面完成镇财政工作任务和促进全镇各项事业的持续、稳定、健康发展而努力奋斗！</w:t>
      </w:r>
    </w:p>
    <w:sectPr w:rsidR="0008557B" w:rsidRPr="00D048DF">
      <w:headerReference w:type="default" r:id="rId6"/>
      <w:footerReference w:type="default" r:id="rId7"/>
      <w:pgSz w:w="11906" w:h="16838"/>
      <w:pgMar w:top="1588" w:right="1418" w:bottom="1588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EFB4" w14:textId="77777777" w:rsidR="0021376E" w:rsidRDefault="0021376E">
      <w:r>
        <w:separator/>
      </w:r>
    </w:p>
  </w:endnote>
  <w:endnote w:type="continuationSeparator" w:id="0">
    <w:p w14:paraId="0E2B6112" w14:textId="77777777" w:rsidR="0021376E" w:rsidRDefault="0021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961D" w14:textId="77777777" w:rsidR="0008557B" w:rsidRDefault="00000000">
    <w:pPr>
      <w:framePr w:w="944" w:wrap="around" w:vAnchor="text" w:hAnchor="page" w:x="5474" w:y="-31"/>
      <w:tabs>
        <w:tab w:val="center" w:pos="4153"/>
        <w:tab w:val="right" w:pos="8306"/>
      </w:tabs>
      <w:snapToGrid w:val="0"/>
      <w:ind w:left="0" w:firstLine="0"/>
      <w:jc w:val="center"/>
      <w:textAlignment w:val="baseline"/>
      <w:rPr>
        <w:b/>
        <w:sz w:val="24"/>
      </w:rPr>
    </w:pPr>
    <w:r>
      <w:rPr>
        <w:rFonts w:hint="eastAsia"/>
        <w:b/>
        <w:sz w:val="24"/>
      </w:rPr>
      <w:t>—</w:t>
    </w:r>
    <w:r>
      <w:rPr>
        <w:rFonts w:hint="eastAsia"/>
        <w:b/>
        <w:sz w:val="24"/>
      </w:rPr>
      <w:t xml:space="preserve"> </w:t>
    </w:r>
    <w:r>
      <w:rPr>
        <w:b/>
        <w:sz w:val="24"/>
      </w:rPr>
      <w:fldChar w:fldCharType="begin"/>
    </w:r>
    <w:r>
      <w:rPr>
        <w:b/>
        <w:sz w:val="24"/>
      </w:rPr>
      <w:instrText>PAGE</w:instrText>
    </w:r>
    <w:r>
      <w:rPr>
        <w:b/>
        <w:sz w:val="24"/>
      </w:rPr>
      <w:fldChar w:fldCharType="separate"/>
    </w:r>
    <w:r>
      <w:rPr>
        <w:b/>
        <w:sz w:val="24"/>
      </w:rPr>
      <w:t>4</w:t>
    </w:r>
    <w:r>
      <w:rPr>
        <w:b/>
        <w:sz w:val="24"/>
      </w:rPr>
      <w:fldChar w:fldCharType="end"/>
    </w:r>
    <w:r>
      <w:rPr>
        <w:rFonts w:hint="eastAsia"/>
        <w:b/>
        <w:sz w:val="24"/>
      </w:rPr>
      <w:t xml:space="preserve"> </w:t>
    </w:r>
    <w:r>
      <w:rPr>
        <w:rFonts w:hint="eastAsia"/>
        <w:b/>
        <w:sz w:val="24"/>
      </w:rPr>
      <w:t>—</w:t>
    </w:r>
  </w:p>
  <w:p w14:paraId="1144BFAA" w14:textId="77777777" w:rsidR="0008557B" w:rsidRDefault="0008557B">
    <w:pPr>
      <w:tabs>
        <w:tab w:val="center" w:pos="4153"/>
        <w:tab w:val="right" w:pos="8306"/>
      </w:tabs>
      <w:snapToGrid w:val="0"/>
      <w:ind w:left="0" w:firstLine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CA34" w14:textId="77777777" w:rsidR="0021376E" w:rsidRDefault="0021376E">
      <w:r>
        <w:separator/>
      </w:r>
    </w:p>
  </w:footnote>
  <w:footnote w:type="continuationSeparator" w:id="0">
    <w:p w14:paraId="7A9A7371" w14:textId="77777777" w:rsidR="0021376E" w:rsidRDefault="0021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FAA3" w14:textId="77777777" w:rsidR="0008557B" w:rsidRDefault="0008557B">
    <w:pPr>
      <w:tabs>
        <w:tab w:val="center" w:pos="4153"/>
        <w:tab w:val="right" w:pos="8306"/>
      </w:tabs>
      <w:snapToGrid w:val="0"/>
      <w:ind w:left="0" w:firstLine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5MTU3NjkxMjllYzFmNDg4OTE3YjA5NGJkZGNkZGMifQ=="/>
  </w:docVars>
  <w:rsids>
    <w:rsidRoot w:val="00AB4C13"/>
    <w:rsid w:val="00006534"/>
    <w:rsid w:val="000153A1"/>
    <w:rsid w:val="00033378"/>
    <w:rsid w:val="00044612"/>
    <w:rsid w:val="0006527E"/>
    <w:rsid w:val="000827C4"/>
    <w:rsid w:val="00084757"/>
    <w:rsid w:val="0008557B"/>
    <w:rsid w:val="00111389"/>
    <w:rsid w:val="00142C33"/>
    <w:rsid w:val="001555A6"/>
    <w:rsid w:val="0016769B"/>
    <w:rsid w:val="001B22D2"/>
    <w:rsid w:val="001B4817"/>
    <w:rsid w:val="001D5E77"/>
    <w:rsid w:val="001E191B"/>
    <w:rsid w:val="0021376E"/>
    <w:rsid w:val="002234F6"/>
    <w:rsid w:val="0025070A"/>
    <w:rsid w:val="002628BA"/>
    <w:rsid w:val="0026480F"/>
    <w:rsid w:val="002711AF"/>
    <w:rsid w:val="0029021D"/>
    <w:rsid w:val="002A2FB0"/>
    <w:rsid w:val="002F60AA"/>
    <w:rsid w:val="00321E18"/>
    <w:rsid w:val="0033127A"/>
    <w:rsid w:val="00371607"/>
    <w:rsid w:val="003A1EAF"/>
    <w:rsid w:val="003D7293"/>
    <w:rsid w:val="004463EC"/>
    <w:rsid w:val="004752AE"/>
    <w:rsid w:val="004F1EBC"/>
    <w:rsid w:val="0050337F"/>
    <w:rsid w:val="005323B3"/>
    <w:rsid w:val="00543485"/>
    <w:rsid w:val="005474F7"/>
    <w:rsid w:val="00547D39"/>
    <w:rsid w:val="005755FE"/>
    <w:rsid w:val="005C40DF"/>
    <w:rsid w:val="005C41D4"/>
    <w:rsid w:val="005E2F4B"/>
    <w:rsid w:val="005F235D"/>
    <w:rsid w:val="00607E27"/>
    <w:rsid w:val="00620F7A"/>
    <w:rsid w:val="00652B16"/>
    <w:rsid w:val="00653F2D"/>
    <w:rsid w:val="006838E4"/>
    <w:rsid w:val="00685814"/>
    <w:rsid w:val="006874E8"/>
    <w:rsid w:val="006C41AC"/>
    <w:rsid w:val="006D3165"/>
    <w:rsid w:val="00742432"/>
    <w:rsid w:val="00754853"/>
    <w:rsid w:val="007A12FC"/>
    <w:rsid w:val="007B5431"/>
    <w:rsid w:val="007C2A6D"/>
    <w:rsid w:val="007D44B7"/>
    <w:rsid w:val="008105AA"/>
    <w:rsid w:val="00814712"/>
    <w:rsid w:val="00863AD8"/>
    <w:rsid w:val="00867829"/>
    <w:rsid w:val="0089322D"/>
    <w:rsid w:val="008C03BC"/>
    <w:rsid w:val="008D7332"/>
    <w:rsid w:val="008F1FA1"/>
    <w:rsid w:val="00906D5D"/>
    <w:rsid w:val="00915EE9"/>
    <w:rsid w:val="0094253E"/>
    <w:rsid w:val="009521A9"/>
    <w:rsid w:val="009550D5"/>
    <w:rsid w:val="00970017"/>
    <w:rsid w:val="00970CB1"/>
    <w:rsid w:val="009B4DBE"/>
    <w:rsid w:val="009B4F87"/>
    <w:rsid w:val="009D33D2"/>
    <w:rsid w:val="009E28F7"/>
    <w:rsid w:val="00A4712B"/>
    <w:rsid w:val="00A511F7"/>
    <w:rsid w:val="00A75BDB"/>
    <w:rsid w:val="00A91485"/>
    <w:rsid w:val="00AB4C13"/>
    <w:rsid w:val="00AE74C1"/>
    <w:rsid w:val="00B524CD"/>
    <w:rsid w:val="00B660B4"/>
    <w:rsid w:val="00BA147A"/>
    <w:rsid w:val="00BF0ABD"/>
    <w:rsid w:val="00C03487"/>
    <w:rsid w:val="00C23A15"/>
    <w:rsid w:val="00C24A50"/>
    <w:rsid w:val="00C42385"/>
    <w:rsid w:val="00C55CFD"/>
    <w:rsid w:val="00CE477F"/>
    <w:rsid w:val="00D048DF"/>
    <w:rsid w:val="00D16136"/>
    <w:rsid w:val="00D24B5F"/>
    <w:rsid w:val="00D27B88"/>
    <w:rsid w:val="00D345D5"/>
    <w:rsid w:val="00D41435"/>
    <w:rsid w:val="00D758E8"/>
    <w:rsid w:val="00D8219A"/>
    <w:rsid w:val="00D95168"/>
    <w:rsid w:val="00DB7C79"/>
    <w:rsid w:val="00DD5501"/>
    <w:rsid w:val="00DE3488"/>
    <w:rsid w:val="00DF5533"/>
    <w:rsid w:val="00E04B07"/>
    <w:rsid w:val="00E13125"/>
    <w:rsid w:val="00E32286"/>
    <w:rsid w:val="00E54FC6"/>
    <w:rsid w:val="00E72C5F"/>
    <w:rsid w:val="00E800B1"/>
    <w:rsid w:val="00E81479"/>
    <w:rsid w:val="00E85231"/>
    <w:rsid w:val="00EB57ED"/>
    <w:rsid w:val="00EF4272"/>
    <w:rsid w:val="00F121AE"/>
    <w:rsid w:val="00F72A42"/>
    <w:rsid w:val="00FD4397"/>
    <w:rsid w:val="00FD6FAE"/>
    <w:rsid w:val="023B0382"/>
    <w:rsid w:val="05033C8E"/>
    <w:rsid w:val="05384BFD"/>
    <w:rsid w:val="06C26E88"/>
    <w:rsid w:val="06D538DD"/>
    <w:rsid w:val="075A58F6"/>
    <w:rsid w:val="079E3037"/>
    <w:rsid w:val="09BA444B"/>
    <w:rsid w:val="0A0C193A"/>
    <w:rsid w:val="0A8D5D0F"/>
    <w:rsid w:val="0BBE0DA2"/>
    <w:rsid w:val="0C69661A"/>
    <w:rsid w:val="0C915518"/>
    <w:rsid w:val="0D17368D"/>
    <w:rsid w:val="0D630A85"/>
    <w:rsid w:val="0F090D77"/>
    <w:rsid w:val="0F0D4977"/>
    <w:rsid w:val="0F114A69"/>
    <w:rsid w:val="0F554385"/>
    <w:rsid w:val="0F953C7A"/>
    <w:rsid w:val="10EC2F7C"/>
    <w:rsid w:val="1127178B"/>
    <w:rsid w:val="117F6E5B"/>
    <w:rsid w:val="12A5103A"/>
    <w:rsid w:val="132E0EFC"/>
    <w:rsid w:val="1345773A"/>
    <w:rsid w:val="15555A2A"/>
    <w:rsid w:val="158E2BA7"/>
    <w:rsid w:val="15E845E5"/>
    <w:rsid w:val="15F0480D"/>
    <w:rsid w:val="16042A6F"/>
    <w:rsid w:val="16737492"/>
    <w:rsid w:val="16E61463"/>
    <w:rsid w:val="177D591E"/>
    <w:rsid w:val="18C907BB"/>
    <w:rsid w:val="18FA657B"/>
    <w:rsid w:val="19502D7D"/>
    <w:rsid w:val="19EF4739"/>
    <w:rsid w:val="1A4A3825"/>
    <w:rsid w:val="1A954B31"/>
    <w:rsid w:val="1B357567"/>
    <w:rsid w:val="1BEB672A"/>
    <w:rsid w:val="1C2D2334"/>
    <w:rsid w:val="1C7A5481"/>
    <w:rsid w:val="1C7D411E"/>
    <w:rsid w:val="1F7E2F3D"/>
    <w:rsid w:val="1FA80BBE"/>
    <w:rsid w:val="2006543D"/>
    <w:rsid w:val="20924DDE"/>
    <w:rsid w:val="20FF7C42"/>
    <w:rsid w:val="21AD5318"/>
    <w:rsid w:val="223871DD"/>
    <w:rsid w:val="22567301"/>
    <w:rsid w:val="22F80E19"/>
    <w:rsid w:val="232401FE"/>
    <w:rsid w:val="23B01D68"/>
    <w:rsid w:val="26072CF6"/>
    <w:rsid w:val="260B31B9"/>
    <w:rsid w:val="26245F2C"/>
    <w:rsid w:val="26757D30"/>
    <w:rsid w:val="276124CB"/>
    <w:rsid w:val="286B790E"/>
    <w:rsid w:val="294C0BC5"/>
    <w:rsid w:val="29675B79"/>
    <w:rsid w:val="298B5A5E"/>
    <w:rsid w:val="2A390CD9"/>
    <w:rsid w:val="2A721D30"/>
    <w:rsid w:val="2A80430F"/>
    <w:rsid w:val="2A8A3E48"/>
    <w:rsid w:val="2F125F11"/>
    <w:rsid w:val="2F4954E5"/>
    <w:rsid w:val="304471A4"/>
    <w:rsid w:val="30CF3D1D"/>
    <w:rsid w:val="3114568B"/>
    <w:rsid w:val="315F7E36"/>
    <w:rsid w:val="323E6F02"/>
    <w:rsid w:val="327F553E"/>
    <w:rsid w:val="32CE6B16"/>
    <w:rsid w:val="32E464C7"/>
    <w:rsid w:val="32F46891"/>
    <w:rsid w:val="3361450B"/>
    <w:rsid w:val="355A64D6"/>
    <w:rsid w:val="365F7595"/>
    <w:rsid w:val="37C27C96"/>
    <w:rsid w:val="39B2754F"/>
    <w:rsid w:val="3A144DEB"/>
    <w:rsid w:val="3B7C0FEF"/>
    <w:rsid w:val="3BC90173"/>
    <w:rsid w:val="3D5D2753"/>
    <w:rsid w:val="42C52DDF"/>
    <w:rsid w:val="43E922DD"/>
    <w:rsid w:val="46D936A1"/>
    <w:rsid w:val="46DA42AC"/>
    <w:rsid w:val="470A4792"/>
    <w:rsid w:val="475E3122"/>
    <w:rsid w:val="476C7B48"/>
    <w:rsid w:val="487578AD"/>
    <w:rsid w:val="4AA45E96"/>
    <w:rsid w:val="4C5053D3"/>
    <w:rsid w:val="4C514AC8"/>
    <w:rsid w:val="4CB72B9F"/>
    <w:rsid w:val="4CC568B5"/>
    <w:rsid w:val="4EC502A1"/>
    <w:rsid w:val="51695610"/>
    <w:rsid w:val="51B333F5"/>
    <w:rsid w:val="520142C4"/>
    <w:rsid w:val="527C4258"/>
    <w:rsid w:val="537157BC"/>
    <w:rsid w:val="54FD0D9E"/>
    <w:rsid w:val="5548792D"/>
    <w:rsid w:val="558772CD"/>
    <w:rsid w:val="56786E86"/>
    <w:rsid w:val="56C343D8"/>
    <w:rsid w:val="56E6610C"/>
    <w:rsid w:val="57892663"/>
    <w:rsid w:val="57C40B1D"/>
    <w:rsid w:val="594714A9"/>
    <w:rsid w:val="59B84318"/>
    <w:rsid w:val="5B2D5781"/>
    <w:rsid w:val="5B8071EA"/>
    <w:rsid w:val="5D484FBE"/>
    <w:rsid w:val="5DD106B1"/>
    <w:rsid w:val="5E70240A"/>
    <w:rsid w:val="5F743D44"/>
    <w:rsid w:val="61204B8E"/>
    <w:rsid w:val="617D0B33"/>
    <w:rsid w:val="61E36C84"/>
    <w:rsid w:val="61ED047E"/>
    <w:rsid w:val="62AB2AF7"/>
    <w:rsid w:val="62C20557"/>
    <w:rsid w:val="62C53431"/>
    <w:rsid w:val="637F7219"/>
    <w:rsid w:val="64590BB7"/>
    <w:rsid w:val="649F16A5"/>
    <w:rsid w:val="65154E24"/>
    <w:rsid w:val="65FE4419"/>
    <w:rsid w:val="661220F4"/>
    <w:rsid w:val="66691E94"/>
    <w:rsid w:val="668D1300"/>
    <w:rsid w:val="67A873A5"/>
    <w:rsid w:val="67BF2F33"/>
    <w:rsid w:val="68A50766"/>
    <w:rsid w:val="68C4709C"/>
    <w:rsid w:val="68E65524"/>
    <w:rsid w:val="6C021C78"/>
    <w:rsid w:val="6C8E23E4"/>
    <w:rsid w:val="6CF90660"/>
    <w:rsid w:val="6D0708B4"/>
    <w:rsid w:val="6D5E43B7"/>
    <w:rsid w:val="6DD70EE8"/>
    <w:rsid w:val="6EB62F28"/>
    <w:rsid w:val="702A5F57"/>
    <w:rsid w:val="71502E5F"/>
    <w:rsid w:val="72E0716D"/>
    <w:rsid w:val="738E29B1"/>
    <w:rsid w:val="74245317"/>
    <w:rsid w:val="751A1D6C"/>
    <w:rsid w:val="75C3383A"/>
    <w:rsid w:val="75E411EB"/>
    <w:rsid w:val="76025639"/>
    <w:rsid w:val="791A1009"/>
    <w:rsid w:val="7A3E3002"/>
    <w:rsid w:val="7B511E08"/>
    <w:rsid w:val="7B797F1F"/>
    <w:rsid w:val="7C066779"/>
    <w:rsid w:val="7CB25B80"/>
    <w:rsid w:val="7D6045AD"/>
    <w:rsid w:val="7E3121B9"/>
    <w:rsid w:val="7E3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A8C59"/>
  <w15:docId w15:val="{AC2A83BC-DBFD-41CF-AE2A-E50B1265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="8192" w:firstLine="4608"/>
      <w:jc w:val="both"/>
    </w:pPr>
  </w:style>
  <w:style w:type="paragraph" w:styleId="1">
    <w:name w:val="heading 1"/>
    <w:next w:val="a"/>
    <w:qFormat/>
    <w:pPr>
      <w:wordWrap w:val="0"/>
      <w:spacing w:after="160"/>
      <w:ind w:left="1024"/>
      <w:jc w:val="both"/>
      <w:outlineLvl w:val="0"/>
    </w:pPr>
  </w:style>
  <w:style w:type="paragraph" w:styleId="2">
    <w:name w:val="heading 2"/>
    <w:next w:val="a"/>
    <w:qFormat/>
    <w:pPr>
      <w:wordWrap w:val="0"/>
      <w:spacing w:after="160"/>
      <w:ind w:left="1024"/>
      <w:jc w:val="both"/>
      <w:outlineLvl w:val="1"/>
    </w:pPr>
  </w:style>
  <w:style w:type="paragraph" w:styleId="3">
    <w:name w:val="heading 3"/>
    <w:next w:val="a"/>
    <w:qFormat/>
    <w:pPr>
      <w:wordWrap w:val="0"/>
      <w:spacing w:after="160"/>
      <w:ind w:left="1400" w:firstLine="1136"/>
      <w:jc w:val="both"/>
      <w:outlineLvl w:val="2"/>
    </w:pPr>
  </w:style>
  <w:style w:type="paragraph" w:styleId="4">
    <w:name w:val="heading 4"/>
    <w:next w:val="a"/>
    <w:qFormat/>
    <w:pPr>
      <w:wordWrap w:val="0"/>
      <w:spacing w:after="160"/>
      <w:ind w:left="1600" w:firstLine="2160"/>
      <w:jc w:val="both"/>
      <w:outlineLvl w:val="3"/>
    </w:pPr>
  </w:style>
  <w:style w:type="paragraph" w:styleId="5">
    <w:name w:val="heading 5"/>
    <w:next w:val="a"/>
    <w:qFormat/>
    <w:pPr>
      <w:wordWrap w:val="0"/>
      <w:spacing w:after="160"/>
      <w:ind w:left="1800" w:firstLine="1136"/>
      <w:jc w:val="both"/>
      <w:outlineLvl w:val="4"/>
    </w:pPr>
  </w:style>
  <w:style w:type="paragraph" w:styleId="6">
    <w:name w:val="heading 6"/>
    <w:next w:val="a"/>
    <w:qFormat/>
    <w:pPr>
      <w:wordWrap w:val="0"/>
      <w:spacing w:after="160"/>
      <w:ind w:left="2000" w:firstLine="2160"/>
      <w:jc w:val="both"/>
      <w:outlineLvl w:val="5"/>
    </w:pPr>
  </w:style>
  <w:style w:type="paragraph" w:styleId="7">
    <w:name w:val="heading 7"/>
    <w:next w:val="a"/>
    <w:qFormat/>
    <w:pPr>
      <w:wordWrap w:val="0"/>
      <w:spacing w:after="160"/>
      <w:ind w:left="2200" w:firstLine="1136"/>
      <w:jc w:val="both"/>
      <w:outlineLvl w:val="6"/>
    </w:pPr>
  </w:style>
  <w:style w:type="paragraph" w:styleId="8">
    <w:name w:val="heading 8"/>
    <w:next w:val="a"/>
    <w:qFormat/>
    <w:pPr>
      <w:wordWrap w:val="0"/>
      <w:spacing w:after="160"/>
      <w:ind w:left="2400" w:firstLine="1136"/>
      <w:jc w:val="both"/>
      <w:outlineLvl w:val="7"/>
    </w:pPr>
  </w:style>
  <w:style w:type="paragraph" w:styleId="9">
    <w:name w:val="heading 9"/>
    <w:next w:val="a"/>
    <w:qFormat/>
    <w:pPr>
      <w:wordWrap w:val="0"/>
      <w:spacing w:after="160"/>
      <w:ind w:left="2600" w:firstLine="11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qFormat/>
    <w:pPr>
      <w:wordWrap w:val="0"/>
      <w:ind w:left="1101"/>
      <w:jc w:val="both"/>
    </w:pPr>
  </w:style>
  <w:style w:type="paragraph" w:styleId="a3">
    <w:name w:val="Normal Indent"/>
    <w:next w:val="a"/>
    <w:qFormat/>
    <w:pPr>
      <w:wordWrap w:val="0"/>
      <w:ind w:left="1096"/>
      <w:jc w:val="both"/>
    </w:pPr>
  </w:style>
  <w:style w:type="paragraph" w:styleId="TOC5">
    <w:name w:val="toc 5"/>
    <w:next w:val="a"/>
    <w:qFormat/>
    <w:pPr>
      <w:wordWrap w:val="0"/>
      <w:ind w:left="1275"/>
      <w:jc w:val="both"/>
    </w:pPr>
  </w:style>
  <w:style w:type="paragraph" w:styleId="TOC3">
    <w:name w:val="toc 3"/>
    <w:next w:val="a"/>
    <w:pPr>
      <w:wordWrap w:val="0"/>
      <w:ind w:left="1193"/>
      <w:jc w:val="both"/>
    </w:pPr>
  </w:style>
  <w:style w:type="paragraph" w:styleId="TOC8">
    <w:name w:val="toc 8"/>
    <w:next w:val="a"/>
    <w:qFormat/>
    <w:pPr>
      <w:wordWrap w:val="0"/>
      <w:ind w:left="1270"/>
      <w:jc w:val="both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4">
    <w:name w:val="toc 4"/>
    <w:next w:val="a"/>
    <w:qFormat/>
    <w:pPr>
      <w:wordWrap w:val="0"/>
      <w:ind w:left="1106"/>
      <w:jc w:val="both"/>
    </w:pPr>
  </w:style>
  <w:style w:type="paragraph" w:styleId="a8">
    <w:name w:val="Subtitle"/>
    <w:next w:val="a"/>
    <w:qFormat/>
    <w:pPr>
      <w:wordWrap w:val="0"/>
      <w:spacing w:after="60"/>
      <w:ind w:left="1024"/>
      <w:jc w:val="center"/>
    </w:pPr>
  </w:style>
  <w:style w:type="paragraph" w:styleId="TOC6">
    <w:name w:val="toc 6"/>
    <w:next w:val="a"/>
    <w:qFormat/>
    <w:pPr>
      <w:wordWrap w:val="0"/>
      <w:ind w:left="1188"/>
      <w:jc w:val="both"/>
    </w:pPr>
  </w:style>
  <w:style w:type="paragraph" w:styleId="TOC2">
    <w:name w:val="toc 2"/>
    <w:next w:val="a"/>
    <w:qFormat/>
    <w:pPr>
      <w:wordWrap w:val="0"/>
      <w:ind w:left="1024"/>
      <w:jc w:val="both"/>
    </w:pPr>
  </w:style>
  <w:style w:type="paragraph" w:styleId="TOC9">
    <w:name w:val="toc 9"/>
    <w:next w:val="a"/>
    <w:qFormat/>
    <w:pPr>
      <w:wordWrap w:val="0"/>
      <w:ind w:left="1183"/>
      <w:jc w:val="both"/>
    </w:p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cs="宋体"/>
      <w:sz w:val="24"/>
      <w:szCs w:val="24"/>
    </w:rPr>
  </w:style>
  <w:style w:type="character" w:styleId="aa">
    <w:name w:val="Strong"/>
    <w:qFormat/>
    <w:rPr>
      <w:b/>
      <w:sz w:val="21"/>
    </w:rPr>
  </w:style>
  <w:style w:type="character" w:styleId="ab">
    <w:name w:val="Emphasis"/>
    <w:qFormat/>
    <w:rPr>
      <w:i/>
      <w:sz w:val="21"/>
    </w:rPr>
  </w:style>
  <w:style w:type="character" w:customStyle="1" w:styleId="10">
    <w:name w:val="不明显参考1"/>
    <w:qFormat/>
    <w:rPr>
      <w:color w:val="auto"/>
      <w:sz w:val="21"/>
    </w:rPr>
  </w:style>
  <w:style w:type="character" w:customStyle="1" w:styleId="11">
    <w:name w:val="明显参考1"/>
    <w:qFormat/>
    <w:rPr>
      <w:b/>
      <w:color w:val="auto"/>
      <w:sz w:val="21"/>
    </w:rPr>
  </w:style>
  <w:style w:type="character" w:customStyle="1" w:styleId="12">
    <w:name w:val="明显强调1"/>
    <w:qFormat/>
    <w:rPr>
      <w:i/>
      <w:color w:val="auto"/>
      <w:sz w:val="21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paragraph" w:styleId="ac">
    <w:name w:val="List Paragraph"/>
    <w:next w:val="a"/>
    <w:qFormat/>
    <w:pPr>
      <w:wordWrap w:val="0"/>
      <w:ind w:left="1106"/>
      <w:jc w:val="both"/>
    </w:pPr>
  </w:style>
  <w:style w:type="paragraph" w:styleId="ad">
    <w:name w:val="Intense Quote"/>
    <w:next w:val="a"/>
    <w:qFormat/>
    <w:pPr>
      <w:wordWrap w:val="0"/>
      <w:spacing w:before="360" w:after="360"/>
      <w:ind w:left="3766" w:right="950"/>
      <w:jc w:val="center"/>
    </w:pPr>
    <w:rPr>
      <w:i/>
    </w:rPr>
  </w:style>
  <w:style w:type="paragraph" w:customStyle="1" w:styleId="TOC1">
    <w:name w:val="TOC 标题1"/>
    <w:next w:val="a"/>
    <w:qFormat/>
    <w:pPr>
      <w:wordWrap w:val="0"/>
      <w:ind w:left="2560"/>
    </w:pPr>
  </w:style>
  <w:style w:type="paragraph" w:styleId="ae">
    <w:name w:val="Quote"/>
    <w:next w:val="a"/>
    <w:qFormat/>
    <w:pPr>
      <w:wordWrap w:val="0"/>
      <w:spacing w:before="200" w:after="160"/>
      <w:ind w:left="3680" w:right="864"/>
      <w:jc w:val="center"/>
    </w:pPr>
    <w:rPr>
      <w:i/>
    </w:r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380</Words>
  <Characters>2172</Characters>
  <Application>Microsoft Office Word</Application>
  <DocSecurity>0</DocSecurity>
  <Lines>18</Lines>
  <Paragraphs>5</Paragraphs>
  <ScaleCrop>false</ScaleCrop>
  <Company>金正??公司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关于2007年财政预算执行情况和</dc:title>
  <dc:creator>金正电脑用户</dc:creator>
  <cp:lastModifiedBy>碧云 蔡</cp:lastModifiedBy>
  <cp:revision>30</cp:revision>
  <cp:lastPrinted>2022-01-02T04:30:00Z</cp:lastPrinted>
  <dcterms:created xsi:type="dcterms:W3CDTF">2021-01-02T02:37:00Z</dcterms:created>
  <dcterms:modified xsi:type="dcterms:W3CDTF">2023-01-19T04:16:00Z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960BEA2DBB2C4603B03EB8CB2FB8BB48</vt:lpwstr>
  </property>
</Properties>
</file>