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 w:line="574" w:lineRule="exact"/>
        <w:ind w:left="120"/>
        <w:rPr>
          <w:rFonts w:ascii="宋体" w:hAnsi="宋体" w:eastAsia="宋体" w:cs="宋体"/>
          <w:sz w:val="32"/>
          <w:szCs w:val="32"/>
          <w:lang w:eastAsia="zh-CN"/>
        </w:rPr>
      </w:pPr>
      <w:r>
        <w:rPr>
          <w:rFonts w:hint="eastAsia" w:ascii="宋体" w:hAnsi="宋体" w:eastAsia="宋体" w:cs="宋体"/>
          <w:sz w:val="32"/>
          <w:szCs w:val="32"/>
          <w:lang w:eastAsia="zh-CN"/>
        </w:rPr>
        <w:t>附件7</w:t>
      </w:r>
    </w:p>
    <w:p>
      <w:pPr>
        <w:spacing w:before="2" w:line="574" w:lineRule="exact"/>
        <w:rPr>
          <w:rFonts w:ascii="宋体" w:hAnsi="宋体" w:eastAsia="宋体" w:cs="宋体"/>
          <w:sz w:val="27"/>
          <w:szCs w:val="27"/>
          <w:lang w:eastAsia="zh-CN"/>
        </w:rPr>
      </w:pPr>
    </w:p>
    <w:p>
      <w:pPr>
        <w:spacing w:line="574" w:lineRule="exact"/>
        <w:jc w:val="center"/>
        <w:rPr>
          <w:rFonts w:ascii="宋体" w:hAnsi="宋体" w:eastAsia="宋体" w:cs="宋体"/>
          <w:sz w:val="44"/>
          <w:szCs w:val="44"/>
          <w:lang w:eastAsia="zh-CN"/>
        </w:rPr>
      </w:pPr>
      <w:r>
        <w:rPr>
          <w:rFonts w:hint="eastAsia" w:ascii="宋体" w:hAnsi="宋体" w:eastAsia="宋体" w:cs="宋体"/>
          <w:sz w:val="44"/>
          <w:szCs w:val="44"/>
          <w:lang w:eastAsia="zh-CN"/>
        </w:rPr>
        <w:t>江苏省政府专项债券项目绩效自评价报告</w:t>
      </w:r>
    </w:p>
    <w:p>
      <w:pPr>
        <w:spacing w:line="574" w:lineRule="exact"/>
        <w:jc w:val="center"/>
        <w:rPr>
          <w:rFonts w:ascii="宋体" w:hAnsi="宋体" w:eastAsia="宋体" w:cs="宋体"/>
          <w:sz w:val="30"/>
          <w:szCs w:val="30"/>
          <w:lang w:eastAsia="zh-CN"/>
        </w:rPr>
      </w:pPr>
    </w:p>
    <w:p>
      <w:pPr>
        <w:spacing w:line="574" w:lineRule="exact"/>
        <w:ind w:firstLine="602" w:firstLineChars="200"/>
        <w:jc w:val="both"/>
        <w:rPr>
          <w:rFonts w:ascii="宋体" w:hAnsi="宋体" w:eastAsia="宋体" w:cs="宋体"/>
          <w:b/>
          <w:bCs/>
          <w:sz w:val="30"/>
          <w:szCs w:val="30"/>
          <w:lang w:eastAsia="zh-CN"/>
        </w:rPr>
      </w:pPr>
      <w:r>
        <w:rPr>
          <w:rFonts w:hint="eastAsia" w:ascii="宋体" w:hAnsi="宋体" w:eastAsia="宋体" w:cs="宋体"/>
          <w:b/>
          <w:bCs/>
          <w:sz w:val="30"/>
          <w:szCs w:val="30"/>
          <w:lang w:eastAsia="zh-CN"/>
        </w:rPr>
        <w:t>一、项目情况</w:t>
      </w:r>
    </w:p>
    <w:p>
      <w:pPr>
        <w:spacing w:line="574" w:lineRule="exact"/>
        <w:ind w:firstLine="584" w:firstLineChars="200"/>
        <w:jc w:val="both"/>
        <w:rPr>
          <w:rFonts w:ascii="宋体" w:hAnsi="宋体" w:eastAsia="宋体" w:cs="宋体"/>
          <w:spacing w:val="-4"/>
          <w:sz w:val="30"/>
          <w:szCs w:val="30"/>
          <w:lang w:eastAsia="zh-CN"/>
        </w:rPr>
      </w:pPr>
      <w:r>
        <w:rPr>
          <w:rFonts w:hint="eastAsia" w:ascii="宋体" w:hAnsi="宋体" w:eastAsia="宋体" w:cs="宋体"/>
          <w:spacing w:val="-4"/>
          <w:sz w:val="30"/>
          <w:szCs w:val="30"/>
          <w:lang w:eastAsia="zh-CN"/>
        </w:rPr>
        <w:t>（一）项目概况</w:t>
      </w:r>
    </w:p>
    <w:p>
      <w:pPr>
        <w:spacing w:line="574" w:lineRule="exact"/>
        <w:ind w:firstLine="600" w:firstLineChars="200"/>
        <w:jc w:val="both"/>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为了改善乡村生活条件，提升居民生活质量，实施溧阳市上黄镇城乡天然气一体化项目。项目建设单位为溧阳上黄工业集中区开发有限公司。</w:t>
      </w:r>
    </w:p>
    <w:p>
      <w:pPr>
        <w:spacing w:line="574" w:lineRule="exact"/>
        <w:ind w:firstLine="600" w:firstLineChars="200"/>
        <w:jc w:val="both"/>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根据溧阳市发展和改革委员会《关于溧阳市上黄镇城乡天然气一体化项目可行性研究报告的批复》（溧发改〔202</w:t>
      </w:r>
      <w:r>
        <w:rPr>
          <w:rFonts w:hint="eastAsia" w:ascii="宋体" w:hAnsi="宋体" w:eastAsia="宋体" w:cs="宋体"/>
          <w:sz w:val="30"/>
          <w:szCs w:val="30"/>
          <w:highlight w:val="none"/>
          <w:lang w:val="en-US" w:eastAsia="zh-CN"/>
        </w:rPr>
        <w:t>2</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162</w:t>
      </w:r>
      <w:r>
        <w:rPr>
          <w:rFonts w:hint="eastAsia" w:ascii="宋体" w:hAnsi="宋体" w:eastAsia="宋体" w:cs="宋体"/>
          <w:sz w:val="30"/>
          <w:szCs w:val="30"/>
          <w:highlight w:val="none"/>
          <w:lang w:eastAsia="zh-CN"/>
        </w:rPr>
        <w:t>号文），该项目建设地址位于溧阳市上黄镇镇区范围内，主要建设内容包括天然气输气管线、入户管线等。</w:t>
      </w:r>
    </w:p>
    <w:p>
      <w:pPr>
        <w:spacing w:line="574" w:lineRule="exact"/>
        <w:ind w:firstLine="600" w:firstLineChars="200"/>
        <w:jc w:val="both"/>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本项目估算总投资</w:t>
      </w:r>
      <w:r>
        <w:rPr>
          <w:rFonts w:hint="eastAsia" w:ascii="宋体" w:hAnsi="宋体" w:eastAsia="宋体" w:cs="宋体"/>
          <w:sz w:val="30"/>
          <w:szCs w:val="30"/>
          <w:highlight w:val="none"/>
          <w:lang w:val="en-US" w:eastAsia="zh-CN"/>
        </w:rPr>
        <w:t>6000</w:t>
      </w:r>
      <w:r>
        <w:rPr>
          <w:rFonts w:hint="eastAsia" w:ascii="宋体" w:hAnsi="宋体" w:eastAsia="宋体" w:cs="宋体"/>
          <w:sz w:val="30"/>
          <w:szCs w:val="30"/>
          <w:highlight w:val="none"/>
          <w:lang w:eastAsia="zh-CN"/>
        </w:rPr>
        <w:t>万元，建设单位自筹资金</w:t>
      </w:r>
      <w:r>
        <w:rPr>
          <w:rFonts w:hint="eastAsia" w:ascii="宋体" w:hAnsi="宋体" w:eastAsia="宋体" w:cs="宋体"/>
          <w:sz w:val="30"/>
          <w:szCs w:val="30"/>
          <w:highlight w:val="none"/>
          <w:lang w:val="en-US" w:eastAsia="zh-CN"/>
        </w:rPr>
        <w:t>1200</w:t>
      </w:r>
      <w:r>
        <w:rPr>
          <w:rFonts w:hint="eastAsia" w:ascii="宋体" w:hAnsi="宋体" w:eastAsia="宋体" w:cs="宋体"/>
          <w:sz w:val="30"/>
          <w:szCs w:val="30"/>
          <w:highlight w:val="none"/>
          <w:lang w:eastAsia="zh-CN"/>
        </w:rPr>
        <w:t>万元，申请地方政府专项债券资金</w:t>
      </w:r>
      <w:r>
        <w:rPr>
          <w:rFonts w:hint="eastAsia" w:ascii="宋体" w:hAnsi="宋体" w:eastAsia="宋体" w:cs="宋体"/>
          <w:sz w:val="30"/>
          <w:szCs w:val="30"/>
          <w:highlight w:val="none"/>
          <w:lang w:val="en-US" w:eastAsia="zh-CN"/>
        </w:rPr>
        <w:t>4800</w:t>
      </w:r>
      <w:r>
        <w:rPr>
          <w:rFonts w:hint="eastAsia" w:ascii="宋体" w:hAnsi="宋体" w:eastAsia="宋体" w:cs="宋体"/>
          <w:sz w:val="30"/>
          <w:szCs w:val="30"/>
          <w:highlight w:val="none"/>
          <w:lang w:eastAsia="zh-CN"/>
        </w:rPr>
        <w:t>万元，于</w:t>
      </w:r>
      <w:r>
        <w:rPr>
          <w:rFonts w:hint="eastAsia" w:ascii="宋体" w:hAnsi="宋体" w:eastAsia="宋体" w:cs="宋体"/>
          <w:sz w:val="30"/>
          <w:szCs w:val="30"/>
          <w:highlight w:val="none"/>
          <w:lang w:val="en-US" w:eastAsia="zh-CN"/>
        </w:rPr>
        <w:t>2022</w:t>
      </w:r>
      <w:r>
        <w:rPr>
          <w:rFonts w:hint="eastAsia" w:ascii="宋体" w:hAnsi="宋体" w:eastAsia="宋体" w:cs="宋体"/>
          <w:sz w:val="30"/>
          <w:szCs w:val="30"/>
          <w:highlight w:val="none"/>
          <w:lang w:eastAsia="zh-CN"/>
        </w:rPr>
        <w:t>年发行债券</w:t>
      </w:r>
      <w:r>
        <w:rPr>
          <w:rFonts w:hint="eastAsia" w:ascii="宋体" w:hAnsi="宋体" w:eastAsia="宋体" w:cs="宋体"/>
          <w:sz w:val="30"/>
          <w:szCs w:val="30"/>
          <w:highlight w:val="none"/>
          <w:lang w:val="en-US" w:eastAsia="zh-CN"/>
        </w:rPr>
        <w:t>1500</w:t>
      </w:r>
      <w:r>
        <w:rPr>
          <w:rFonts w:hint="eastAsia" w:ascii="宋体" w:hAnsi="宋体" w:eastAsia="宋体" w:cs="宋体"/>
          <w:sz w:val="30"/>
          <w:szCs w:val="30"/>
          <w:highlight w:val="none"/>
          <w:lang w:eastAsia="zh-CN"/>
        </w:rPr>
        <w:t>万元，期限为15年。</w:t>
      </w:r>
    </w:p>
    <w:p>
      <w:pPr>
        <w:numPr>
          <w:ilvl w:val="0"/>
          <w:numId w:val="1"/>
        </w:numPr>
        <w:spacing w:line="574" w:lineRule="exact"/>
        <w:ind w:firstLine="600"/>
        <w:jc w:val="both"/>
        <w:rPr>
          <w:rFonts w:ascii="宋体" w:hAnsi="宋体" w:eastAsia="宋体" w:cs="宋体"/>
          <w:sz w:val="30"/>
          <w:szCs w:val="30"/>
          <w:lang w:eastAsia="zh-CN"/>
        </w:rPr>
      </w:pPr>
      <w:r>
        <w:rPr>
          <w:rFonts w:hint="eastAsia" w:ascii="宋体" w:hAnsi="宋体" w:eastAsia="宋体" w:cs="宋体"/>
          <w:sz w:val="30"/>
          <w:szCs w:val="30"/>
          <w:lang w:eastAsia="zh-CN"/>
        </w:rPr>
        <w:t>绩效目标</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1、项目绩效总体目标</w:t>
      </w:r>
    </w:p>
    <w:p>
      <w:pPr>
        <w:spacing w:line="574" w:lineRule="exact"/>
        <w:ind w:firstLine="600" w:firstLineChars="200"/>
        <w:jc w:val="both"/>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正确处理资源保护与开发的关系，加强生态环境保护和建设，坚持走可持续发展道路；并与城市建设、道路交通、环境保护等专项规划相衔接。</w:t>
      </w:r>
    </w:p>
    <w:p>
      <w:pPr>
        <w:numPr>
          <w:ilvl w:val="0"/>
          <w:numId w:val="2"/>
        </w:num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项目绩效阶段性目标</w:t>
      </w:r>
    </w:p>
    <w:p>
      <w:pPr>
        <w:numPr>
          <w:ilvl w:val="0"/>
          <w:numId w:val="0"/>
        </w:numPr>
        <w:spacing w:line="574" w:lineRule="exact"/>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目标1：完成项目可研报告编制及审批、施工图设计。</w:t>
      </w:r>
    </w:p>
    <w:p>
      <w:pPr>
        <w:numPr>
          <w:ilvl w:val="0"/>
          <w:numId w:val="0"/>
        </w:numPr>
        <w:spacing w:line="574" w:lineRule="exact"/>
        <w:ind w:firstLine="600" w:firstLine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目标2：完成施工招投标。</w:t>
      </w:r>
    </w:p>
    <w:p>
      <w:pPr>
        <w:numPr>
          <w:ilvl w:val="0"/>
          <w:numId w:val="0"/>
        </w:numPr>
        <w:spacing w:line="574" w:lineRule="exact"/>
        <w:ind w:left="598" w:leftChars="272" w:firstLine="0" w:firstLineChars="0"/>
        <w:jc w:val="both"/>
        <w:rPr>
          <w:rFonts w:ascii="宋体" w:hAnsi="宋体" w:eastAsia="宋体" w:cs="宋体"/>
          <w:sz w:val="30"/>
          <w:szCs w:val="30"/>
          <w:lang w:eastAsia="zh-CN"/>
        </w:rPr>
      </w:pPr>
      <w:r>
        <w:rPr>
          <w:rFonts w:hint="eastAsia" w:ascii="宋体" w:hAnsi="宋体" w:eastAsia="宋体" w:cs="宋体"/>
          <w:sz w:val="30"/>
          <w:szCs w:val="30"/>
          <w:lang w:eastAsia="zh-CN"/>
        </w:rPr>
        <w:t>目标3：完成土方工程量19000m³。</w:t>
      </w:r>
    </w:p>
    <w:p>
      <w:pPr>
        <w:spacing w:line="574" w:lineRule="exact"/>
        <w:ind w:firstLine="602" w:firstLineChars="200"/>
        <w:jc w:val="both"/>
        <w:rPr>
          <w:rFonts w:ascii="宋体" w:hAnsi="宋体" w:eastAsia="宋体" w:cs="宋体"/>
          <w:b/>
          <w:bCs/>
          <w:sz w:val="30"/>
          <w:szCs w:val="30"/>
          <w:lang w:eastAsia="zh-CN"/>
        </w:rPr>
      </w:pPr>
      <w:r>
        <w:rPr>
          <w:rFonts w:hint="eastAsia" w:ascii="宋体" w:hAnsi="宋体" w:eastAsia="宋体" w:cs="宋体"/>
          <w:b/>
          <w:bCs/>
          <w:sz w:val="30"/>
          <w:szCs w:val="30"/>
          <w:lang w:eastAsia="zh-CN"/>
        </w:rPr>
        <w:t>二、评价情况</w:t>
      </w:r>
    </w:p>
    <w:p>
      <w:pPr>
        <w:spacing w:line="574" w:lineRule="exact"/>
        <w:ind w:firstLine="584" w:firstLineChars="200"/>
        <w:jc w:val="both"/>
        <w:rPr>
          <w:rFonts w:ascii="宋体" w:hAnsi="宋体" w:eastAsia="宋体" w:cs="宋体"/>
          <w:sz w:val="30"/>
          <w:szCs w:val="30"/>
          <w:lang w:eastAsia="zh-CN"/>
        </w:rPr>
      </w:pPr>
      <w:r>
        <w:rPr>
          <w:rFonts w:hint="eastAsia" w:ascii="宋体" w:hAnsi="宋体" w:eastAsia="宋体" w:cs="宋体"/>
          <w:spacing w:val="-4"/>
          <w:sz w:val="30"/>
          <w:szCs w:val="30"/>
          <w:lang w:eastAsia="zh-CN"/>
        </w:rPr>
        <w:t>（一）项目特点分析。</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1、本项目勘察、设计、施工、监理以及重要设备、材料采购的招标方式需按照《中华人民共和国招标投标法》和《必须招标的工程项目规定》（国家发展改革委第 16 号令）的相关规定执行。项目建设资金按照规定用途使用，与中标后签订的合同相符。</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2、本项目需</w:t>
      </w:r>
      <w:r>
        <w:rPr>
          <w:rFonts w:ascii="宋体" w:hAnsi="宋体" w:eastAsia="宋体" w:cs="宋体"/>
          <w:sz w:val="30"/>
          <w:szCs w:val="30"/>
          <w:lang w:eastAsia="zh-CN"/>
        </w:rPr>
        <w:t>通过在线平台如实报送政府投资项目前期、开工建设、建设进度、竣工等基本信息。加强项目档案管理，将项目审批和实施过程中的有关文件、资料存档备查。</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3、本项目需按照批复的建设规模、建设内容等进行建设。如果已批准建设规模、建设内容需要作较大调整的，按规定办理变更手续。</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4、项目将严格遵循“估算控制概算、概算控制预算、预算控制决算”的原则。投资概算原则上不得超过经批准的可行性研究报告提出的投资估算的10%。</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根据《财政部关于印发&lt;地方政府专项债券项目资金绩效管理办法》的通知&gt;》(财预(2021)61 号文)，并结合上述项目特点，本次绩效评价主要反映项目过程、产出、</w:t>
      </w:r>
      <w:r>
        <w:rPr>
          <w:rFonts w:hint="eastAsia" w:ascii="宋体" w:hAnsi="宋体" w:eastAsia="宋体" w:cs="宋体"/>
          <w:sz w:val="30"/>
          <w:szCs w:val="30"/>
          <w:lang w:val="en-US" w:eastAsia="zh-CN"/>
        </w:rPr>
        <w:t>效益</w:t>
      </w:r>
      <w:r>
        <w:rPr>
          <w:rFonts w:hint="eastAsia" w:ascii="宋体" w:hAnsi="宋体" w:eastAsia="宋体" w:cs="宋体"/>
          <w:sz w:val="30"/>
          <w:szCs w:val="30"/>
          <w:lang w:eastAsia="zh-CN"/>
        </w:rPr>
        <w:t>和满意度情况，包括以下内容：</w:t>
      </w:r>
    </w:p>
    <w:p>
      <w:pPr>
        <w:numPr>
          <w:ilvl w:val="0"/>
          <w:numId w:val="3"/>
        </w:num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过程</w:t>
      </w:r>
      <w:r>
        <w:rPr>
          <w:rFonts w:ascii="宋体" w:hAnsi="宋体" w:eastAsia="宋体" w:cs="宋体"/>
          <w:sz w:val="30"/>
          <w:szCs w:val="30"/>
          <w:lang w:eastAsia="zh-CN"/>
        </w:rPr>
        <w:t>方面</w:t>
      </w:r>
    </w:p>
    <w:p>
      <w:pPr>
        <w:spacing w:line="574" w:lineRule="exact"/>
        <w:ind w:firstLine="600" w:firstLineChars="200"/>
        <w:jc w:val="both"/>
        <w:rPr>
          <w:rFonts w:ascii="宋体" w:hAnsi="宋体" w:eastAsia="宋体" w:cs="宋体"/>
          <w:sz w:val="30"/>
          <w:szCs w:val="30"/>
          <w:lang w:eastAsia="zh-CN"/>
        </w:rPr>
      </w:pPr>
      <w:r>
        <w:rPr>
          <w:rFonts w:ascii="宋体" w:hAnsi="宋体" w:eastAsia="宋体" w:cs="宋体"/>
          <w:sz w:val="30"/>
          <w:szCs w:val="30"/>
          <w:lang w:eastAsia="zh-CN"/>
        </w:rPr>
        <w:t>项目符合专项债券支持领域和方向情况</w:t>
      </w:r>
      <w:r>
        <w:rPr>
          <w:rFonts w:hint="eastAsia" w:ascii="宋体" w:hAnsi="宋体" w:eastAsia="宋体" w:cs="宋体"/>
          <w:sz w:val="30"/>
          <w:szCs w:val="30"/>
          <w:lang w:eastAsia="zh-CN"/>
        </w:rPr>
        <w:t>；</w:t>
      </w:r>
      <w:r>
        <w:rPr>
          <w:rFonts w:ascii="宋体" w:hAnsi="宋体" w:eastAsia="宋体" w:cs="宋体"/>
          <w:sz w:val="30"/>
          <w:szCs w:val="30"/>
          <w:lang w:eastAsia="zh-CN"/>
        </w:rPr>
        <w:t>项目绩效目标设定情况</w:t>
      </w:r>
      <w:r>
        <w:rPr>
          <w:rFonts w:hint="eastAsia" w:ascii="宋体" w:hAnsi="宋体" w:eastAsia="宋体" w:cs="宋体"/>
          <w:sz w:val="30"/>
          <w:szCs w:val="30"/>
          <w:lang w:eastAsia="zh-CN"/>
        </w:rPr>
        <w:t>；</w:t>
      </w:r>
      <w:r>
        <w:rPr>
          <w:rFonts w:ascii="宋体" w:hAnsi="宋体" w:eastAsia="宋体" w:cs="宋体"/>
          <w:sz w:val="30"/>
          <w:szCs w:val="30"/>
          <w:lang w:eastAsia="zh-CN"/>
        </w:rPr>
        <w:t>项目申请专项债券额度与实际需要匹配情况等。</w:t>
      </w:r>
    </w:p>
    <w:p>
      <w:pPr>
        <w:numPr>
          <w:ilvl w:val="0"/>
          <w:numId w:val="3"/>
        </w:num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产出</w:t>
      </w:r>
      <w:r>
        <w:rPr>
          <w:rFonts w:ascii="宋体" w:hAnsi="宋体" w:eastAsia="宋体" w:cs="宋体"/>
          <w:sz w:val="30"/>
          <w:szCs w:val="30"/>
          <w:lang w:eastAsia="zh-CN"/>
        </w:rPr>
        <w:t>方面</w:t>
      </w:r>
    </w:p>
    <w:p>
      <w:pPr>
        <w:spacing w:line="574" w:lineRule="exact"/>
        <w:ind w:firstLine="600" w:firstLineChars="200"/>
        <w:jc w:val="both"/>
        <w:rPr>
          <w:rFonts w:hint="eastAsia" w:ascii="宋体" w:hAnsi="宋体" w:eastAsia="宋体" w:cs="宋体"/>
          <w:sz w:val="30"/>
          <w:szCs w:val="30"/>
          <w:lang w:eastAsia="zh-CN"/>
        </w:rPr>
      </w:pPr>
      <w:r>
        <w:rPr>
          <w:rFonts w:ascii="宋体" w:hAnsi="宋体" w:eastAsia="宋体" w:cs="宋体"/>
          <w:sz w:val="30"/>
          <w:szCs w:val="30"/>
          <w:lang w:eastAsia="zh-CN"/>
        </w:rPr>
        <w:t>债券资金按规定用途使用情况</w:t>
      </w:r>
      <w:r>
        <w:rPr>
          <w:rFonts w:hint="eastAsia" w:ascii="宋体" w:hAnsi="宋体" w:eastAsia="宋体" w:cs="宋体"/>
          <w:sz w:val="30"/>
          <w:szCs w:val="30"/>
          <w:lang w:eastAsia="zh-CN"/>
        </w:rPr>
        <w:t>；</w:t>
      </w:r>
      <w:r>
        <w:rPr>
          <w:rFonts w:ascii="宋体" w:hAnsi="宋体" w:eastAsia="宋体" w:cs="宋体"/>
          <w:sz w:val="30"/>
          <w:szCs w:val="30"/>
          <w:lang w:eastAsia="zh-CN"/>
        </w:rPr>
        <w:t>资金拨付和支出进度与项目建设进度匹配情况</w:t>
      </w:r>
      <w:r>
        <w:rPr>
          <w:rFonts w:hint="eastAsia" w:ascii="宋体" w:hAnsi="宋体" w:eastAsia="宋体" w:cs="宋体"/>
          <w:sz w:val="30"/>
          <w:szCs w:val="30"/>
          <w:lang w:eastAsia="zh-CN"/>
        </w:rPr>
        <w:t>；</w:t>
      </w:r>
      <w:r>
        <w:rPr>
          <w:rFonts w:ascii="宋体" w:hAnsi="宋体" w:eastAsia="宋体" w:cs="宋体"/>
          <w:sz w:val="30"/>
          <w:szCs w:val="30"/>
          <w:lang w:eastAsia="zh-CN"/>
        </w:rPr>
        <w:t>专项债券项目信息公开情况</w:t>
      </w:r>
      <w:r>
        <w:rPr>
          <w:rFonts w:hint="eastAsia" w:ascii="宋体" w:hAnsi="宋体" w:eastAsia="宋体" w:cs="宋体"/>
          <w:sz w:val="30"/>
          <w:szCs w:val="30"/>
          <w:lang w:eastAsia="zh-CN"/>
        </w:rPr>
        <w:t>；</w:t>
      </w:r>
      <w:r>
        <w:rPr>
          <w:rFonts w:ascii="宋体" w:hAnsi="宋体" w:eastAsia="宋体" w:cs="宋体"/>
          <w:sz w:val="30"/>
          <w:szCs w:val="30"/>
          <w:lang w:eastAsia="zh-CN"/>
        </w:rPr>
        <w:t>外部监督发现问题整改情况</w:t>
      </w:r>
      <w:r>
        <w:rPr>
          <w:rFonts w:hint="eastAsia" w:ascii="宋体" w:hAnsi="宋体" w:eastAsia="宋体" w:cs="宋体"/>
          <w:sz w:val="30"/>
          <w:szCs w:val="30"/>
          <w:lang w:eastAsia="zh-CN"/>
        </w:rPr>
        <w:t>；</w:t>
      </w:r>
      <w:r>
        <w:rPr>
          <w:rFonts w:ascii="宋体" w:hAnsi="宋体" w:eastAsia="宋体" w:cs="宋体"/>
          <w:sz w:val="30"/>
          <w:szCs w:val="30"/>
          <w:lang w:eastAsia="zh-CN"/>
        </w:rPr>
        <w:t>信息系统管理使用情况</w:t>
      </w:r>
      <w:r>
        <w:rPr>
          <w:rFonts w:hint="eastAsia" w:ascii="宋体" w:hAnsi="宋体" w:eastAsia="宋体" w:cs="宋体"/>
          <w:sz w:val="30"/>
          <w:szCs w:val="30"/>
          <w:lang w:eastAsia="zh-CN"/>
        </w:rPr>
        <w:t>等；</w:t>
      </w:r>
      <w:r>
        <w:rPr>
          <w:rFonts w:ascii="宋体" w:hAnsi="宋体" w:eastAsia="宋体" w:cs="宋体"/>
          <w:sz w:val="30"/>
          <w:szCs w:val="30"/>
          <w:lang w:eastAsia="zh-CN"/>
        </w:rPr>
        <w:t>项目建设质量达标情况</w:t>
      </w:r>
      <w:r>
        <w:rPr>
          <w:rFonts w:hint="eastAsia" w:ascii="宋体" w:hAnsi="宋体" w:eastAsia="宋体" w:cs="宋体"/>
          <w:sz w:val="30"/>
          <w:szCs w:val="30"/>
          <w:lang w:eastAsia="zh-CN"/>
        </w:rPr>
        <w:t>；</w:t>
      </w:r>
      <w:r>
        <w:rPr>
          <w:rFonts w:ascii="宋体" w:hAnsi="宋体" w:eastAsia="宋体" w:cs="宋体"/>
          <w:sz w:val="30"/>
          <w:szCs w:val="30"/>
          <w:lang w:eastAsia="zh-CN"/>
        </w:rPr>
        <w:t>项目建设进度情况</w:t>
      </w:r>
      <w:r>
        <w:rPr>
          <w:rFonts w:hint="eastAsia" w:ascii="宋体" w:hAnsi="宋体" w:eastAsia="宋体" w:cs="宋体"/>
          <w:sz w:val="30"/>
          <w:szCs w:val="30"/>
          <w:lang w:eastAsia="zh-CN"/>
        </w:rPr>
        <w:t>；</w:t>
      </w:r>
      <w:r>
        <w:rPr>
          <w:rFonts w:ascii="宋体" w:hAnsi="宋体" w:eastAsia="宋体" w:cs="宋体"/>
          <w:sz w:val="30"/>
          <w:szCs w:val="30"/>
          <w:lang w:eastAsia="zh-CN"/>
        </w:rPr>
        <w:t>项目建设成本情况</w:t>
      </w:r>
      <w:r>
        <w:rPr>
          <w:rFonts w:hint="eastAsia" w:ascii="宋体" w:hAnsi="宋体" w:eastAsia="宋体" w:cs="宋体"/>
          <w:sz w:val="30"/>
          <w:szCs w:val="30"/>
          <w:lang w:eastAsia="zh-CN"/>
        </w:rPr>
        <w:t>等。</w:t>
      </w:r>
    </w:p>
    <w:p>
      <w:pPr>
        <w:numPr>
          <w:ilvl w:val="0"/>
          <w:numId w:val="3"/>
        </w:numPr>
        <w:spacing w:line="574" w:lineRule="exact"/>
        <w:ind w:left="0" w:leftChars="0" w:firstLine="600" w:firstLineChars="200"/>
        <w:jc w:val="both"/>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项目效益</w:t>
      </w:r>
    </w:p>
    <w:p>
      <w:pPr>
        <w:numPr>
          <w:ilvl w:val="0"/>
          <w:numId w:val="0"/>
        </w:numPr>
        <w:spacing w:line="574" w:lineRule="exact"/>
        <w:ind w:leftChars="200"/>
        <w:jc w:val="both"/>
        <w:rPr>
          <w:rFonts w:hint="default" w:ascii="宋体" w:hAnsi="宋体" w:eastAsia="宋体" w:cs="宋体"/>
          <w:sz w:val="30"/>
          <w:szCs w:val="30"/>
          <w:lang w:val="en-US" w:eastAsia="zh-CN"/>
        </w:rPr>
      </w:pPr>
      <w:r>
        <w:rPr>
          <w:rFonts w:hint="eastAsia" w:ascii="宋体" w:hAnsi="宋体" w:eastAsia="宋体" w:cs="宋体"/>
          <w:sz w:val="30"/>
          <w:szCs w:val="30"/>
          <w:lang w:val="en-US" w:eastAsia="zh-CN"/>
        </w:rPr>
        <w:t xml:space="preserve"> 项目</w:t>
      </w:r>
      <w:r>
        <w:rPr>
          <w:rFonts w:hint="eastAsia" w:ascii="宋体" w:hAnsi="宋体" w:eastAsia="宋体" w:cs="宋体"/>
          <w:sz w:val="30"/>
          <w:szCs w:val="30"/>
          <w:highlight w:val="none"/>
          <w:lang w:val="en-US" w:eastAsia="zh-CN"/>
        </w:rPr>
        <w:t>经济效益、</w:t>
      </w:r>
      <w:r>
        <w:rPr>
          <w:rFonts w:hint="eastAsia" w:ascii="宋体" w:hAnsi="宋体" w:eastAsia="宋体" w:cs="宋体"/>
          <w:sz w:val="30"/>
          <w:szCs w:val="30"/>
          <w:highlight w:val="none"/>
          <w:lang w:eastAsia="zh-CN"/>
        </w:rPr>
        <w:t>社会效益、</w:t>
      </w:r>
      <w:r>
        <w:rPr>
          <w:rFonts w:hint="eastAsia" w:ascii="宋体" w:hAnsi="宋体" w:eastAsia="宋体" w:cs="宋体"/>
          <w:sz w:val="30"/>
          <w:szCs w:val="30"/>
          <w:highlight w:val="none"/>
          <w:lang w:val="en-US" w:eastAsia="zh-CN"/>
        </w:rPr>
        <w:t>生态效益等。</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val="en-US" w:eastAsia="zh-CN"/>
        </w:rPr>
        <w:t>4</w:t>
      </w:r>
      <w:r>
        <w:rPr>
          <w:rFonts w:hint="eastAsia" w:ascii="宋体" w:hAnsi="宋体" w:eastAsia="宋体" w:cs="宋体"/>
          <w:sz w:val="30"/>
          <w:szCs w:val="30"/>
          <w:lang w:eastAsia="zh-CN"/>
        </w:rPr>
        <w:t>、满意度方面</w:t>
      </w:r>
    </w:p>
    <w:p>
      <w:pPr>
        <w:spacing w:line="574" w:lineRule="exact"/>
        <w:ind w:firstLine="600" w:firstLineChars="200"/>
        <w:jc w:val="both"/>
        <w:rPr>
          <w:rFonts w:ascii="宋体" w:hAnsi="宋体" w:eastAsia="宋体" w:cs="宋体"/>
          <w:sz w:val="30"/>
          <w:szCs w:val="30"/>
          <w:lang w:eastAsia="zh-CN"/>
        </w:rPr>
      </w:pPr>
      <w:r>
        <w:rPr>
          <w:rFonts w:ascii="宋体" w:hAnsi="宋体" w:eastAsia="宋体" w:cs="宋体"/>
          <w:sz w:val="30"/>
          <w:szCs w:val="30"/>
          <w:lang w:eastAsia="zh-CN"/>
        </w:rPr>
        <w:t>项目满意程度等。</w:t>
      </w:r>
    </w:p>
    <w:p>
      <w:pPr>
        <w:spacing w:line="574" w:lineRule="exact"/>
        <w:ind w:firstLine="584" w:firstLineChars="200"/>
        <w:jc w:val="both"/>
        <w:rPr>
          <w:rFonts w:ascii="宋体" w:hAnsi="宋体" w:eastAsia="宋体" w:cs="宋体"/>
          <w:sz w:val="30"/>
          <w:szCs w:val="30"/>
          <w:lang w:eastAsia="zh-CN"/>
        </w:rPr>
      </w:pPr>
      <w:r>
        <w:rPr>
          <w:rFonts w:hint="eastAsia" w:ascii="宋体" w:hAnsi="宋体" w:eastAsia="宋体" w:cs="宋体"/>
          <w:spacing w:val="-4"/>
          <w:sz w:val="30"/>
          <w:szCs w:val="30"/>
          <w:lang w:eastAsia="zh-CN"/>
        </w:rPr>
        <w:t>（二）评价思路方法</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根据《财政部关于印发&lt;地方政府专项债券项目资金绩效管理办法》的通知&gt;》(财预(2021)61 号文)、《项目支出绩效评价管理办法》（财预（2020）10号文），</w:t>
      </w:r>
      <w:r>
        <w:rPr>
          <w:rFonts w:hint="eastAsia" w:ascii="宋体" w:hAnsi="宋体" w:eastAsia="宋体" w:cs="宋体"/>
          <w:spacing w:val="-4"/>
          <w:sz w:val="30"/>
          <w:szCs w:val="30"/>
          <w:lang w:eastAsia="zh-CN"/>
        </w:rPr>
        <w:t>确定专项债券项目绩效自评</w:t>
      </w:r>
      <w:r>
        <w:rPr>
          <w:rFonts w:hint="eastAsia" w:ascii="宋体" w:hAnsi="宋体" w:eastAsia="宋体" w:cs="宋体"/>
          <w:sz w:val="30"/>
          <w:szCs w:val="30"/>
          <w:lang w:eastAsia="zh-CN"/>
        </w:rPr>
        <w:t>价的原则、方法、标准等。</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1、绩效评价原则</w:t>
      </w:r>
    </w:p>
    <w:p>
      <w:pPr>
        <w:spacing w:line="574" w:lineRule="exact"/>
        <w:ind w:firstLine="600"/>
        <w:jc w:val="both"/>
        <w:rPr>
          <w:rFonts w:ascii="宋体" w:hAnsi="宋体" w:eastAsia="宋体" w:cs="宋体"/>
          <w:sz w:val="30"/>
          <w:szCs w:val="30"/>
          <w:lang w:eastAsia="zh-CN"/>
        </w:rPr>
      </w:pPr>
      <w:r>
        <w:rPr>
          <w:rFonts w:hint="eastAsia" w:ascii="宋体" w:hAnsi="宋体" w:eastAsia="宋体" w:cs="宋体"/>
          <w:sz w:val="30"/>
          <w:szCs w:val="30"/>
          <w:lang w:eastAsia="zh-CN"/>
        </w:rPr>
        <w:t>绩效评价应当遵循以下基本原则：（1）科学公正。绩效评价应当运用科学合理的方法，按照规范的程序，对项目绩效进行客观、公正的反映。（2）统筹兼顾。单位自评由项目单位自主实施，即“谁支出、谁自评”。（3）激励约束。绩效评价结果应与预算安排、政策调整、改进管理实质性挂钩，体现奖优罚劣和激励相容导向，有效要安排、低效要压减、无效要问责。（4）公开透明。绩效评价结果应依法依规公开，并自觉接受社会监督。</w:t>
      </w:r>
    </w:p>
    <w:p>
      <w:pPr>
        <w:spacing w:line="574" w:lineRule="exact"/>
        <w:ind w:left="440" w:leftChars="200" w:firstLine="300" w:firstLineChars="100"/>
        <w:jc w:val="both"/>
        <w:rPr>
          <w:rFonts w:ascii="宋体" w:hAnsi="宋体" w:eastAsia="宋体" w:cs="宋体"/>
          <w:sz w:val="30"/>
          <w:szCs w:val="30"/>
          <w:lang w:eastAsia="zh-CN"/>
        </w:rPr>
      </w:pPr>
      <w:r>
        <w:rPr>
          <w:rFonts w:hint="eastAsia" w:ascii="宋体" w:hAnsi="宋体" w:eastAsia="宋体" w:cs="宋体"/>
          <w:sz w:val="30"/>
          <w:szCs w:val="30"/>
          <w:lang w:eastAsia="zh-CN"/>
        </w:rPr>
        <w:t>2、</w:t>
      </w:r>
      <w:r>
        <w:rPr>
          <w:rFonts w:ascii="宋体" w:hAnsi="宋体" w:eastAsia="宋体" w:cs="宋体"/>
          <w:sz w:val="30"/>
          <w:szCs w:val="30"/>
          <w:lang w:eastAsia="zh-CN"/>
        </w:rPr>
        <w:t>绩效评价标准</w:t>
      </w:r>
    </w:p>
    <w:p>
      <w:pPr>
        <w:spacing w:line="574" w:lineRule="exact"/>
        <w:jc w:val="both"/>
        <w:rPr>
          <w:rFonts w:ascii="宋体" w:hAnsi="宋体" w:eastAsia="宋体" w:cs="宋体"/>
          <w:sz w:val="30"/>
          <w:szCs w:val="30"/>
          <w:lang w:eastAsia="zh-CN"/>
        </w:rPr>
      </w:pPr>
      <w:r>
        <w:rPr>
          <w:rFonts w:hint="eastAsia" w:ascii="宋体" w:hAnsi="宋体" w:eastAsia="宋体" w:cs="宋体"/>
          <w:sz w:val="30"/>
          <w:szCs w:val="30"/>
          <w:lang w:eastAsia="zh-CN"/>
        </w:rPr>
        <w:t xml:space="preserve">    绩效评价标准通常包括计划标准、行业标准等，用于对绩效指标完成情况进行比较。（1）计划标准。指以预先制定的目标、计划、预算、定额等作为评价标准。（2）行业标准。指参照国家公布的行业指标数据制定的评价标准。</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3、绩效评价方法</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采用定量与定性评价相结合的比较法，总分由各项指标得分汇总形成。</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定量指标得分按照以下方法评定：与年初指标值相比，完成指标值的，记该指标所赋全部分值；对完成值高于指标值较多的，要分析原因，如果是由于年初指标值设定明显偏低造成的，要按照偏离度适度调减分值；未完成指标值的，按照完成值与指标值的比例记分。</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 xml:space="preserve">定性指标得分按照以下方法评定：根据指标完成情况分为达成年度指标、部分达成年度指标并具有一定效果、未达成年度指标且效果较差三档，合理确定分值。 </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根据财预（2021）61号文，</w:t>
      </w:r>
      <w:r>
        <w:rPr>
          <w:rFonts w:ascii="宋体" w:hAnsi="宋体" w:eastAsia="宋体" w:cs="宋体"/>
          <w:sz w:val="30"/>
          <w:szCs w:val="30"/>
          <w:lang w:eastAsia="zh-CN"/>
        </w:rPr>
        <w:t>绩效评价</w:t>
      </w:r>
      <w:r>
        <w:rPr>
          <w:rFonts w:hint="eastAsia" w:ascii="宋体" w:hAnsi="宋体" w:eastAsia="宋体" w:cs="宋体"/>
          <w:sz w:val="30"/>
          <w:szCs w:val="30"/>
          <w:lang w:eastAsia="zh-CN"/>
        </w:rPr>
        <w:t>最终</w:t>
      </w:r>
      <w:r>
        <w:rPr>
          <w:rFonts w:ascii="宋体" w:hAnsi="宋体" w:eastAsia="宋体" w:cs="宋体"/>
          <w:sz w:val="30"/>
          <w:szCs w:val="30"/>
          <w:lang w:eastAsia="zh-CN"/>
        </w:rPr>
        <w:t>结果按照综合评分进行分级</w:t>
      </w:r>
      <w:r>
        <w:rPr>
          <w:rFonts w:hint="eastAsia" w:ascii="宋体" w:hAnsi="宋体" w:eastAsia="宋体" w:cs="宋体"/>
          <w:sz w:val="30"/>
          <w:szCs w:val="30"/>
          <w:lang w:eastAsia="zh-CN"/>
        </w:rPr>
        <w:t>。</w:t>
      </w:r>
      <w:r>
        <w:rPr>
          <w:rFonts w:ascii="宋体" w:hAnsi="宋体" w:eastAsia="宋体" w:cs="宋体"/>
          <w:sz w:val="30"/>
          <w:szCs w:val="30"/>
          <w:lang w:eastAsia="zh-CN"/>
        </w:rPr>
        <w:t>综合评分为90分(含)以上的为</w:t>
      </w:r>
      <w:r>
        <w:rPr>
          <w:rFonts w:hint="eastAsia" w:ascii="宋体" w:hAnsi="宋体" w:eastAsia="宋体" w:cs="宋体"/>
          <w:sz w:val="30"/>
          <w:szCs w:val="30"/>
          <w:lang w:eastAsia="zh-CN"/>
        </w:rPr>
        <w:t>“</w:t>
      </w:r>
      <w:r>
        <w:rPr>
          <w:rFonts w:ascii="宋体" w:hAnsi="宋体" w:eastAsia="宋体" w:cs="宋体"/>
          <w:sz w:val="30"/>
          <w:szCs w:val="30"/>
          <w:lang w:eastAsia="zh-CN"/>
        </w:rPr>
        <w:t>优</w:t>
      </w:r>
      <w:r>
        <w:rPr>
          <w:rFonts w:hint="eastAsia" w:ascii="宋体" w:hAnsi="宋体" w:eastAsia="宋体" w:cs="宋体"/>
          <w:sz w:val="30"/>
          <w:szCs w:val="30"/>
          <w:lang w:eastAsia="zh-CN"/>
        </w:rPr>
        <w:t>”</w:t>
      </w:r>
      <w:r>
        <w:rPr>
          <w:rFonts w:ascii="宋体" w:hAnsi="宋体" w:eastAsia="宋体" w:cs="宋体"/>
          <w:sz w:val="30"/>
          <w:szCs w:val="30"/>
          <w:lang w:eastAsia="zh-CN"/>
        </w:rPr>
        <w:t>,80分(含)至90分的为</w:t>
      </w:r>
      <w:r>
        <w:rPr>
          <w:rFonts w:hint="eastAsia" w:ascii="宋体" w:hAnsi="宋体" w:eastAsia="宋体" w:cs="宋体"/>
          <w:sz w:val="30"/>
          <w:szCs w:val="30"/>
          <w:lang w:eastAsia="zh-CN"/>
        </w:rPr>
        <w:t>“</w:t>
      </w:r>
      <w:r>
        <w:rPr>
          <w:rFonts w:ascii="宋体" w:hAnsi="宋体" w:eastAsia="宋体" w:cs="宋体"/>
          <w:sz w:val="30"/>
          <w:szCs w:val="30"/>
          <w:lang w:eastAsia="zh-CN"/>
        </w:rPr>
        <w:t>良</w:t>
      </w:r>
      <w:r>
        <w:rPr>
          <w:rFonts w:hint="eastAsia" w:ascii="宋体" w:hAnsi="宋体" w:eastAsia="宋体" w:cs="宋体"/>
          <w:sz w:val="30"/>
          <w:szCs w:val="30"/>
          <w:lang w:eastAsia="zh-CN"/>
        </w:rPr>
        <w:t>”</w:t>
      </w:r>
      <w:r>
        <w:rPr>
          <w:rFonts w:ascii="宋体" w:hAnsi="宋体" w:eastAsia="宋体" w:cs="宋体"/>
          <w:sz w:val="30"/>
          <w:szCs w:val="30"/>
          <w:lang w:eastAsia="zh-CN"/>
        </w:rPr>
        <w:t>,60分(含)至80分的为</w:t>
      </w:r>
      <w:r>
        <w:rPr>
          <w:rFonts w:hint="eastAsia" w:ascii="宋体" w:hAnsi="宋体" w:eastAsia="宋体" w:cs="宋体"/>
          <w:sz w:val="30"/>
          <w:szCs w:val="30"/>
          <w:lang w:eastAsia="zh-CN"/>
        </w:rPr>
        <w:t>“</w:t>
      </w:r>
      <w:r>
        <w:rPr>
          <w:rFonts w:ascii="宋体" w:hAnsi="宋体" w:eastAsia="宋体" w:cs="宋体"/>
          <w:sz w:val="30"/>
          <w:szCs w:val="30"/>
          <w:lang w:eastAsia="zh-CN"/>
        </w:rPr>
        <w:t>中</w:t>
      </w:r>
      <w:r>
        <w:rPr>
          <w:rFonts w:hint="eastAsia" w:ascii="宋体" w:hAnsi="宋体" w:eastAsia="宋体" w:cs="宋体"/>
          <w:sz w:val="30"/>
          <w:szCs w:val="30"/>
          <w:lang w:eastAsia="zh-CN"/>
        </w:rPr>
        <w:t>”，</w:t>
      </w:r>
      <w:r>
        <w:rPr>
          <w:rFonts w:ascii="宋体" w:hAnsi="宋体" w:eastAsia="宋体" w:cs="宋体"/>
          <w:sz w:val="30"/>
          <w:szCs w:val="30"/>
          <w:lang w:eastAsia="zh-CN"/>
        </w:rPr>
        <w:t>60分以下的为</w:t>
      </w:r>
      <w:r>
        <w:rPr>
          <w:rFonts w:hint="eastAsia" w:ascii="宋体" w:hAnsi="宋体" w:eastAsia="宋体" w:cs="宋体"/>
          <w:sz w:val="30"/>
          <w:szCs w:val="30"/>
          <w:lang w:eastAsia="zh-CN"/>
        </w:rPr>
        <w:t>“</w:t>
      </w:r>
      <w:r>
        <w:rPr>
          <w:rFonts w:ascii="宋体" w:hAnsi="宋体" w:eastAsia="宋体" w:cs="宋体"/>
          <w:sz w:val="30"/>
          <w:szCs w:val="30"/>
          <w:lang w:eastAsia="zh-CN"/>
        </w:rPr>
        <w:t>差</w:t>
      </w:r>
      <w:r>
        <w:rPr>
          <w:rFonts w:hint="eastAsia" w:ascii="宋体" w:hAnsi="宋体" w:eastAsia="宋体" w:cs="宋体"/>
          <w:sz w:val="30"/>
          <w:szCs w:val="30"/>
          <w:lang w:eastAsia="zh-CN"/>
        </w:rPr>
        <w:t xml:space="preserve">”。 </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4、本项目绩效评价指标权重</w:t>
      </w:r>
    </w:p>
    <w:p>
      <w:pPr>
        <w:spacing w:line="574" w:lineRule="exact"/>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eastAsia="zh-CN"/>
        </w:rPr>
        <w:t>根据《项目支出绩效评价管理办法》（财预（2020）10号文），自评指标的权重根据项目实际情况确定。</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据此，结合本项目进度，绩效评价指标体系从项目过程、项目产出、</w:t>
      </w:r>
      <w:r>
        <w:rPr>
          <w:rFonts w:hint="eastAsia" w:ascii="宋体" w:hAnsi="宋体" w:eastAsia="宋体" w:cs="宋体"/>
          <w:sz w:val="30"/>
          <w:szCs w:val="30"/>
          <w:lang w:val="en-US" w:eastAsia="zh-CN"/>
        </w:rPr>
        <w:t>项目效益、</w:t>
      </w:r>
      <w:r>
        <w:rPr>
          <w:rFonts w:hint="eastAsia" w:ascii="宋体" w:hAnsi="宋体" w:eastAsia="宋体" w:cs="宋体"/>
          <w:sz w:val="30"/>
          <w:szCs w:val="30"/>
          <w:lang w:eastAsia="zh-CN"/>
        </w:rPr>
        <w:t>项目满意度</w:t>
      </w:r>
      <w:r>
        <w:rPr>
          <w:rFonts w:hint="eastAsia" w:ascii="宋体" w:hAnsi="宋体" w:eastAsia="宋体" w:cs="宋体"/>
          <w:sz w:val="30"/>
          <w:szCs w:val="30"/>
          <w:lang w:val="en-US" w:eastAsia="zh-CN"/>
        </w:rPr>
        <w:t>四</w:t>
      </w:r>
      <w:r>
        <w:rPr>
          <w:rFonts w:hint="eastAsia" w:ascii="宋体" w:hAnsi="宋体" w:eastAsia="宋体" w:cs="宋体"/>
          <w:sz w:val="30"/>
          <w:szCs w:val="30"/>
          <w:lang w:eastAsia="zh-CN"/>
        </w:rPr>
        <w:t>个方面进行构建。具体如下：</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（1）项目过程：由资金管理指标、组织实施指标构成。</w:t>
      </w:r>
    </w:p>
    <w:p>
      <w:pPr>
        <w:spacing w:line="574" w:lineRule="exact"/>
        <w:ind w:firstLine="600" w:firstLineChars="200"/>
        <w:jc w:val="both"/>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（2）项目产出：由数量指标、质量指标、时效指标、成本指标构成。</w:t>
      </w:r>
    </w:p>
    <w:p>
      <w:pPr>
        <w:spacing w:line="574" w:lineRule="exact"/>
        <w:ind w:firstLine="600" w:firstLineChars="200"/>
        <w:jc w:val="both"/>
        <w:rPr>
          <w:rFonts w:hint="eastAsia"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3</w:t>
      </w: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项目效益：</w:t>
      </w:r>
      <w:r>
        <w:rPr>
          <w:rFonts w:hint="eastAsia" w:ascii="宋体" w:hAnsi="宋体" w:eastAsia="宋体" w:cs="宋体"/>
          <w:sz w:val="30"/>
          <w:szCs w:val="30"/>
          <w:highlight w:val="none"/>
          <w:lang w:eastAsia="zh-CN"/>
        </w:rPr>
        <w:t>由</w:t>
      </w:r>
      <w:r>
        <w:rPr>
          <w:rFonts w:hint="eastAsia" w:ascii="宋体" w:hAnsi="宋体" w:eastAsia="宋体" w:cs="宋体"/>
          <w:sz w:val="30"/>
          <w:szCs w:val="30"/>
          <w:highlight w:val="none"/>
          <w:lang w:val="en-US" w:eastAsia="zh-CN"/>
        </w:rPr>
        <w:t>经济效益、</w:t>
      </w:r>
      <w:r>
        <w:rPr>
          <w:rFonts w:hint="eastAsia" w:ascii="宋体" w:hAnsi="宋体" w:eastAsia="宋体" w:cs="宋体"/>
          <w:sz w:val="30"/>
          <w:szCs w:val="30"/>
          <w:highlight w:val="none"/>
          <w:lang w:eastAsia="zh-CN"/>
        </w:rPr>
        <w:t>社会效益、</w:t>
      </w:r>
      <w:r>
        <w:rPr>
          <w:rFonts w:hint="eastAsia" w:ascii="宋体" w:hAnsi="宋体" w:eastAsia="宋体" w:cs="宋体"/>
          <w:sz w:val="30"/>
          <w:szCs w:val="30"/>
          <w:highlight w:val="none"/>
          <w:lang w:val="en-US" w:eastAsia="zh-CN"/>
        </w:rPr>
        <w:t>生态效益</w:t>
      </w:r>
      <w:r>
        <w:rPr>
          <w:rFonts w:hint="eastAsia" w:ascii="宋体" w:hAnsi="宋体" w:eastAsia="宋体" w:cs="宋体"/>
          <w:sz w:val="30"/>
          <w:szCs w:val="30"/>
          <w:highlight w:val="none"/>
          <w:lang w:eastAsia="zh-CN"/>
        </w:rPr>
        <w:t>指标构成。</w:t>
      </w:r>
    </w:p>
    <w:p>
      <w:pPr>
        <w:spacing w:line="574" w:lineRule="exact"/>
        <w:ind w:firstLine="600" w:firstLineChars="200"/>
        <w:jc w:val="both"/>
        <w:rPr>
          <w:rFonts w:ascii="宋体" w:hAnsi="宋体" w:eastAsia="宋体" w:cs="宋体"/>
          <w:sz w:val="30"/>
          <w:szCs w:val="30"/>
          <w:highlight w:val="none"/>
          <w:lang w:eastAsia="zh-CN"/>
        </w:rPr>
      </w:pPr>
      <w:r>
        <w:rPr>
          <w:rFonts w:hint="eastAsia" w:ascii="宋体" w:hAnsi="宋体" w:eastAsia="宋体" w:cs="宋体"/>
          <w:sz w:val="30"/>
          <w:szCs w:val="30"/>
          <w:highlight w:val="none"/>
          <w:lang w:eastAsia="zh-CN"/>
        </w:rPr>
        <w:t>（</w:t>
      </w:r>
      <w:r>
        <w:rPr>
          <w:rFonts w:hint="eastAsia" w:ascii="宋体" w:hAnsi="宋体" w:eastAsia="宋体" w:cs="宋体"/>
          <w:sz w:val="30"/>
          <w:szCs w:val="30"/>
          <w:highlight w:val="none"/>
          <w:lang w:val="en-US" w:eastAsia="zh-CN"/>
        </w:rPr>
        <w:t>4</w:t>
      </w:r>
      <w:r>
        <w:rPr>
          <w:rFonts w:hint="eastAsia" w:ascii="宋体" w:hAnsi="宋体" w:eastAsia="宋体" w:cs="宋体"/>
          <w:sz w:val="30"/>
          <w:szCs w:val="30"/>
          <w:highlight w:val="none"/>
          <w:lang w:eastAsia="zh-CN"/>
        </w:rPr>
        <w:t>）项目满意度：由</w:t>
      </w:r>
      <w:r>
        <w:rPr>
          <w:rFonts w:hint="eastAsia" w:ascii="宋体" w:hAnsi="宋体" w:eastAsia="宋体" w:cs="宋体"/>
          <w:sz w:val="30"/>
          <w:szCs w:val="30"/>
          <w:highlight w:val="none"/>
          <w:lang w:val="en-US" w:eastAsia="zh-CN"/>
        </w:rPr>
        <w:t>周边居民满意度</w:t>
      </w:r>
      <w:r>
        <w:rPr>
          <w:rFonts w:hint="eastAsia" w:ascii="宋体" w:hAnsi="宋体" w:eastAsia="宋体" w:cs="宋体"/>
          <w:sz w:val="30"/>
          <w:szCs w:val="30"/>
          <w:highlight w:val="none"/>
          <w:lang w:eastAsia="zh-CN"/>
        </w:rPr>
        <w:t>指标构成。</w:t>
      </w:r>
    </w:p>
    <w:p>
      <w:pPr>
        <w:numPr>
          <w:ilvl w:val="0"/>
          <w:numId w:val="1"/>
        </w:numPr>
        <w:spacing w:line="574" w:lineRule="exact"/>
        <w:ind w:firstLine="600"/>
        <w:jc w:val="both"/>
        <w:rPr>
          <w:rFonts w:ascii="宋体" w:hAnsi="宋体" w:eastAsia="宋体" w:cs="宋体"/>
          <w:sz w:val="30"/>
          <w:szCs w:val="30"/>
          <w:lang w:eastAsia="zh-CN"/>
        </w:rPr>
      </w:pPr>
      <w:r>
        <w:rPr>
          <w:rFonts w:hint="eastAsia" w:ascii="宋体" w:hAnsi="宋体" w:eastAsia="宋体" w:cs="宋体"/>
          <w:spacing w:val="-4"/>
          <w:sz w:val="30"/>
          <w:szCs w:val="30"/>
          <w:lang w:eastAsia="zh-CN"/>
        </w:rPr>
        <w:t>评价工作情况。主要为项目情况核查和分析等方</w:t>
      </w:r>
      <w:r>
        <w:rPr>
          <w:rFonts w:hint="eastAsia" w:ascii="宋体" w:hAnsi="宋体" w:eastAsia="宋体" w:cs="宋体"/>
          <w:sz w:val="30"/>
          <w:szCs w:val="30"/>
          <w:lang w:eastAsia="zh-CN"/>
        </w:rPr>
        <w:t xml:space="preserve">面的情况。 </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1、前期准备阶段</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根据绩效评价工作要求，结合实施绩效评价项目的特点，绩效评价组通过向项目组收集相关资料，并对项目深入研究、反复研讨，针对项目的特性设计相关表格，进行统计、分析、核实，作为项目评价信息。</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2、实地考察</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为保证本次绩效评价结果的客观、公正、科学，本次绩效评价主要采用实地考察办法。评价小组进行实地考察、访问听取项目情况介绍，考察、了解项目开展、项目执行、项目管控、财务管理等情况，以获取绩效评价所需的基础资料。</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 xml:space="preserve">3、绩效分析阶段 </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绩效评价工作组通过收集资料、对照查证复核、数据分析等 工作程序，采用定性指标与定量指标结合、点面结合的方法，确保评价工作客观、公正。对自评表数据与佐证材料的相关数据进行了核实,对明显不合理的目标值,根据项目实际情况进行调整。进行绩效指标量化打分，经过汇总修正，得出最后评价结果。</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4、沟通反馈、报告撰写</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经过与现场项目组反复沟通、交换意见，评价组内部讨论和修改，完成自评价报告的撰写工作。</w:t>
      </w:r>
    </w:p>
    <w:p>
      <w:pPr>
        <w:numPr>
          <w:ilvl w:val="0"/>
          <w:numId w:val="1"/>
        </w:numPr>
        <w:spacing w:line="574" w:lineRule="exact"/>
        <w:ind w:firstLine="600"/>
        <w:jc w:val="both"/>
        <w:rPr>
          <w:rFonts w:ascii="宋体" w:hAnsi="宋体" w:eastAsia="宋体" w:cs="宋体"/>
          <w:sz w:val="30"/>
          <w:szCs w:val="30"/>
          <w:lang w:eastAsia="zh-CN"/>
        </w:rPr>
      </w:pPr>
      <w:r>
        <w:rPr>
          <w:rFonts w:hint="eastAsia" w:ascii="宋体" w:hAnsi="宋体" w:eastAsia="宋体" w:cs="宋体"/>
          <w:sz w:val="30"/>
          <w:szCs w:val="30"/>
          <w:lang w:eastAsia="zh-CN"/>
        </w:rPr>
        <w:t>绩效评价结论。绩效评价的评分及等级等。</w:t>
      </w:r>
    </w:p>
    <w:p>
      <w:pPr>
        <w:numPr>
          <w:ilvl w:val="0"/>
          <w:numId w:val="0"/>
        </w:numPr>
        <w:adjustRightInd w:val="0"/>
        <w:snapToGrid w:val="0"/>
        <w:spacing w:line="574" w:lineRule="exact"/>
        <w:ind w:firstLine="600" w:firstLineChars="200"/>
        <w:jc w:val="both"/>
        <w:rPr>
          <w:rFonts w:ascii="宋体" w:hAnsi="宋体" w:eastAsia="宋体" w:cs="宋体"/>
          <w:spacing w:val="-15"/>
          <w:sz w:val="30"/>
          <w:szCs w:val="30"/>
          <w:lang w:eastAsia="zh-CN"/>
        </w:rPr>
      </w:pPr>
      <w:r>
        <w:rPr>
          <w:rFonts w:hint="eastAsia" w:ascii="宋体" w:hAnsi="宋体" w:eastAsia="宋体" w:cs="宋体"/>
          <w:sz w:val="30"/>
          <w:szCs w:val="30"/>
          <w:lang w:eastAsia="zh-CN"/>
        </w:rPr>
        <w:t>1、</w:t>
      </w:r>
      <w:r>
        <w:rPr>
          <w:rFonts w:hint="eastAsia" w:ascii="宋体" w:hAnsi="宋体" w:eastAsia="宋体" w:cs="宋体"/>
          <w:spacing w:val="-15"/>
          <w:sz w:val="30"/>
          <w:szCs w:val="30"/>
          <w:lang w:eastAsia="zh-CN"/>
        </w:rPr>
        <w:t>项目过程</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项目过程指标分为资金管理、组织实施。资金管理从资金到位率、资金执行率、资金使用合规性</w:t>
      </w:r>
      <w:r>
        <w:rPr>
          <w:rFonts w:hint="eastAsia" w:ascii="宋体" w:hAnsi="宋体" w:eastAsia="宋体" w:cs="宋体"/>
          <w:spacing w:val="-15"/>
          <w:sz w:val="30"/>
          <w:szCs w:val="30"/>
          <w:lang w:val="en-US" w:eastAsia="zh-CN"/>
        </w:rPr>
        <w:t>三</w:t>
      </w:r>
      <w:r>
        <w:rPr>
          <w:rFonts w:hint="eastAsia" w:ascii="宋体" w:hAnsi="宋体" w:eastAsia="宋体" w:cs="宋体"/>
          <w:spacing w:val="-15"/>
          <w:sz w:val="30"/>
          <w:szCs w:val="30"/>
          <w:lang w:eastAsia="zh-CN"/>
        </w:rPr>
        <w:t>个方面评价资金收支和管理情况。组织实施从管理制度健全性、制度执行有效性两个方面评价工程管理制度及项目实施规范情况。</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）资金到位率</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项目于202</w:t>
      </w: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年申请地方政府专项债券资金</w:t>
      </w:r>
      <w:r>
        <w:rPr>
          <w:rFonts w:hint="eastAsia" w:ascii="宋体" w:hAnsi="宋体" w:eastAsia="宋体" w:cs="宋体"/>
          <w:spacing w:val="-15"/>
          <w:sz w:val="30"/>
          <w:szCs w:val="30"/>
          <w:lang w:val="en-US" w:eastAsia="zh-CN"/>
        </w:rPr>
        <w:t>0.15亿</w:t>
      </w:r>
      <w:r>
        <w:rPr>
          <w:rFonts w:hint="eastAsia" w:ascii="宋体" w:hAnsi="宋体" w:eastAsia="宋体" w:cs="宋体"/>
          <w:spacing w:val="-15"/>
          <w:sz w:val="30"/>
          <w:szCs w:val="30"/>
          <w:lang w:eastAsia="zh-CN"/>
        </w:rPr>
        <w:t>元，截止202</w:t>
      </w: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年12月资金实际到位</w:t>
      </w:r>
      <w:r>
        <w:rPr>
          <w:rFonts w:hint="eastAsia" w:ascii="宋体" w:hAnsi="宋体" w:eastAsia="宋体" w:cs="宋体"/>
          <w:spacing w:val="-15"/>
          <w:sz w:val="30"/>
          <w:szCs w:val="30"/>
          <w:lang w:val="en-US" w:eastAsia="zh-CN"/>
        </w:rPr>
        <w:t>0.15亿</w:t>
      </w:r>
      <w:r>
        <w:rPr>
          <w:rFonts w:hint="eastAsia" w:ascii="宋体" w:hAnsi="宋体" w:eastAsia="宋体" w:cs="宋体"/>
          <w:spacing w:val="-15"/>
          <w:sz w:val="30"/>
          <w:szCs w:val="30"/>
          <w:lang w:eastAsia="zh-CN"/>
        </w:rPr>
        <w:t>元，资金到位率</w:t>
      </w:r>
      <w:r>
        <w:rPr>
          <w:rFonts w:hint="eastAsia" w:ascii="宋体" w:hAnsi="宋体" w:eastAsia="宋体" w:cs="宋体"/>
          <w:spacing w:val="-15"/>
          <w:sz w:val="30"/>
          <w:szCs w:val="30"/>
          <w:lang w:val="en-US" w:eastAsia="zh-CN"/>
        </w:rPr>
        <w:t>100</w:t>
      </w:r>
      <w:r>
        <w:rPr>
          <w:rFonts w:hint="eastAsia" w:ascii="宋体" w:hAnsi="宋体" w:eastAsia="宋体" w:cs="宋体"/>
          <w:spacing w:val="-15"/>
          <w:sz w:val="30"/>
          <w:szCs w:val="30"/>
          <w:lang w:eastAsia="zh-CN"/>
        </w:rPr>
        <w:t>%。</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）资金执行率</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截止202</w:t>
      </w: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年12月专项债券资金支出</w:t>
      </w:r>
      <w:r>
        <w:rPr>
          <w:rFonts w:hint="eastAsia" w:ascii="宋体" w:hAnsi="宋体" w:eastAsia="宋体" w:cs="宋体"/>
          <w:spacing w:val="-15"/>
          <w:sz w:val="30"/>
          <w:szCs w:val="30"/>
          <w:lang w:val="en-US" w:eastAsia="zh-CN"/>
        </w:rPr>
        <w:t>0.12亿</w:t>
      </w:r>
      <w:r>
        <w:rPr>
          <w:rFonts w:hint="eastAsia" w:ascii="宋体" w:hAnsi="宋体" w:eastAsia="宋体" w:cs="宋体"/>
          <w:spacing w:val="-15"/>
          <w:sz w:val="30"/>
          <w:szCs w:val="30"/>
          <w:lang w:eastAsia="zh-CN"/>
        </w:rPr>
        <w:t>元，</w:t>
      </w:r>
      <w:r>
        <w:rPr>
          <w:rFonts w:hint="eastAsia" w:ascii="宋体" w:hAnsi="宋体" w:eastAsia="宋体" w:cs="宋体"/>
          <w:spacing w:val="-15"/>
          <w:sz w:val="30"/>
          <w:szCs w:val="30"/>
          <w:lang w:val="en-US" w:eastAsia="zh-CN"/>
        </w:rPr>
        <w:t>资金执行率为80%</w:t>
      </w:r>
      <w:r>
        <w:rPr>
          <w:rFonts w:hint="eastAsia" w:ascii="宋体" w:hAnsi="宋体" w:eastAsia="宋体" w:cs="宋体"/>
          <w:spacing w:val="-15"/>
          <w:sz w:val="30"/>
          <w:szCs w:val="30"/>
          <w:lang w:eastAsia="zh-CN"/>
        </w:rPr>
        <w:t>。</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（3）</w:t>
      </w:r>
      <w:r>
        <w:rPr>
          <w:rFonts w:hint="eastAsia" w:ascii="宋体" w:hAnsi="宋体" w:eastAsia="宋体" w:cs="宋体"/>
          <w:spacing w:val="-15"/>
          <w:sz w:val="30"/>
          <w:szCs w:val="30"/>
          <w:lang w:eastAsia="zh-CN"/>
        </w:rPr>
        <w:t>资金使用合规性</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项目的资金使用符合国家财经法规和财务管理制度，不存在截留、挤占、挪用、虚列支出等情况。  </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（4）</w:t>
      </w:r>
      <w:r>
        <w:rPr>
          <w:rFonts w:hint="eastAsia" w:ascii="宋体" w:hAnsi="宋体" w:eastAsia="宋体" w:cs="宋体"/>
          <w:spacing w:val="-15"/>
          <w:sz w:val="30"/>
          <w:szCs w:val="30"/>
          <w:lang w:eastAsia="zh-CN"/>
        </w:rPr>
        <w:t>管理制度健全性</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作为项目执行单位，具体负责项目实施过程中的建设管理，包括指定专人负责建设项目前期审批手续的办理；进行施工等单位的招投标遴选；组织施工单位按进度进行施工，并对工程建设进度和质量进行跟踪监督。</w:t>
      </w:r>
    </w:p>
    <w:p>
      <w:pPr>
        <w:numPr>
          <w:ilvl w:val="0"/>
          <w:numId w:val="0"/>
        </w:num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（5）</w:t>
      </w:r>
      <w:r>
        <w:rPr>
          <w:rFonts w:hint="eastAsia" w:ascii="宋体" w:hAnsi="宋体" w:eastAsia="宋体" w:cs="宋体"/>
          <w:spacing w:val="-15"/>
          <w:sz w:val="30"/>
          <w:szCs w:val="30"/>
          <w:lang w:eastAsia="zh-CN"/>
        </w:rPr>
        <w:t>制度执行有效性</w:t>
      </w:r>
    </w:p>
    <w:p>
      <w:pPr>
        <w:numPr>
          <w:ilvl w:val="0"/>
          <w:numId w:val="0"/>
        </w:num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开工前按照规定办理施工许可等手续。严格执行工程发包承包法规制度，依法开展招标活动，依法与参建单位订立书面合同，明确双方权利和义务。业务管理制度执行严格有效，完成年度预期目标。</w:t>
      </w:r>
    </w:p>
    <w:p>
      <w:pPr>
        <w:numPr>
          <w:ilvl w:val="0"/>
          <w:numId w:val="0"/>
        </w:num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项目产出</w:t>
      </w:r>
    </w:p>
    <w:p>
      <w:pPr>
        <w:numPr>
          <w:ilvl w:val="0"/>
          <w:numId w:val="0"/>
        </w:num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）数量指标</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夏林村开挖管沟1260m</w:t>
      </w:r>
      <w:r>
        <w:rPr>
          <w:rFonts w:hint="eastAsia" w:ascii="宋体" w:hAnsi="宋体" w:eastAsia="宋体" w:cs="宋体"/>
          <w:spacing w:val="-17"/>
          <w:sz w:val="30"/>
          <w:szCs w:val="30"/>
          <w:vertAlign w:val="superscript"/>
          <w:lang w:val="en-US" w:eastAsia="zh-CN"/>
        </w:rPr>
        <w:t>3</w:t>
      </w: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管道埋设4800m，拆除路面320m</w:t>
      </w:r>
      <w:r>
        <w:rPr>
          <w:rFonts w:hint="eastAsia" w:ascii="宋体" w:hAnsi="宋体" w:eastAsia="宋体" w:cs="宋体"/>
          <w:spacing w:val="-17"/>
          <w:sz w:val="30"/>
          <w:szCs w:val="30"/>
          <w:vertAlign w:val="superscript"/>
          <w:lang w:val="en-US" w:eastAsia="zh-CN"/>
        </w:rPr>
        <w:t>3</w:t>
      </w: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桥北村开挖管沟850m</w:t>
      </w:r>
      <w:r>
        <w:rPr>
          <w:rFonts w:hint="eastAsia" w:ascii="宋体" w:hAnsi="宋体" w:eastAsia="宋体" w:cs="宋体"/>
          <w:spacing w:val="-17"/>
          <w:sz w:val="30"/>
          <w:szCs w:val="30"/>
          <w:vertAlign w:val="superscript"/>
          <w:lang w:val="en-US" w:eastAsia="zh-CN"/>
        </w:rPr>
        <w:t>3</w:t>
      </w: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管道埋设2750m，拆除路面320m</w:t>
      </w:r>
      <w:r>
        <w:rPr>
          <w:rFonts w:hint="eastAsia" w:ascii="宋体" w:hAnsi="宋体" w:eastAsia="宋体" w:cs="宋体"/>
          <w:spacing w:val="-17"/>
          <w:sz w:val="30"/>
          <w:szCs w:val="30"/>
          <w:vertAlign w:val="superscript"/>
          <w:lang w:val="en-US" w:eastAsia="zh-CN"/>
        </w:rPr>
        <w:t>3</w:t>
      </w: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前化开挖管沟800m</w:t>
      </w:r>
      <w:r>
        <w:rPr>
          <w:rFonts w:hint="eastAsia" w:ascii="宋体" w:hAnsi="宋体" w:eastAsia="宋体" w:cs="宋体"/>
          <w:spacing w:val="-17"/>
          <w:sz w:val="30"/>
          <w:szCs w:val="30"/>
          <w:vertAlign w:val="superscript"/>
          <w:lang w:val="en-US" w:eastAsia="zh-CN"/>
        </w:rPr>
        <w:t>3</w:t>
      </w: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管道埋设2500m，拆除路面296.75m</w:t>
      </w:r>
      <w:r>
        <w:rPr>
          <w:rFonts w:hint="eastAsia" w:ascii="宋体" w:hAnsi="宋体" w:eastAsia="宋体" w:cs="宋体"/>
          <w:spacing w:val="-17"/>
          <w:sz w:val="30"/>
          <w:szCs w:val="30"/>
          <w:vertAlign w:val="superscript"/>
          <w:lang w:val="en-US" w:eastAsia="zh-CN"/>
        </w:rPr>
        <w:t>3</w:t>
      </w:r>
      <w:r>
        <w:rPr>
          <w:rFonts w:hint="eastAsia" w:ascii="宋体" w:hAnsi="宋体" w:eastAsia="宋体" w:cs="宋体"/>
          <w:spacing w:val="-15"/>
          <w:sz w:val="30"/>
          <w:szCs w:val="30"/>
          <w:lang w:eastAsia="zh-CN"/>
        </w:rPr>
        <w:t>。</w:t>
      </w:r>
    </w:p>
    <w:p>
      <w:pPr>
        <w:numPr>
          <w:ilvl w:val="0"/>
          <w:numId w:val="0"/>
        </w:numPr>
        <w:adjustRightInd w:val="0"/>
        <w:snapToGrid w:val="0"/>
        <w:spacing w:line="574" w:lineRule="exact"/>
        <w:ind w:left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）质量指标</w:t>
      </w:r>
    </w:p>
    <w:p>
      <w:pPr>
        <w:numPr>
          <w:ilvl w:val="0"/>
          <w:numId w:val="0"/>
        </w:num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抽察管沟质量，抽察结果为合格。监理部要求报验资料与工程施工同步，以便保证项目顺利推进。检查项目部专职安全员是否到岗、在岗。督促安全员每天做好安全生产记录。</w:t>
      </w:r>
    </w:p>
    <w:p>
      <w:pPr>
        <w:adjustRightInd w:val="0"/>
        <w:snapToGrid w:val="0"/>
        <w:spacing w:line="574" w:lineRule="exact"/>
        <w:ind w:firstLine="540" w:firstLineChars="200"/>
        <w:jc w:val="both"/>
        <w:rPr>
          <w:rFonts w:ascii="宋体" w:hAnsi="宋体" w:eastAsia="宋体" w:cs="宋体"/>
          <w:spacing w:val="-15"/>
          <w:sz w:val="30"/>
          <w:szCs w:val="30"/>
          <w:highlight w:val="none"/>
          <w:lang w:eastAsia="zh-CN"/>
        </w:rPr>
      </w:pPr>
      <w:r>
        <w:rPr>
          <w:rFonts w:hint="eastAsia" w:ascii="宋体" w:hAnsi="宋体" w:eastAsia="宋体" w:cs="宋体"/>
          <w:spacing w:val="-15"/>
          <w:sz w:val="30"/>
          <w:szCs w:val="30"/>
          <w:highlight w:val="none"/>
          <w:lang w:eastAsia="zh-CN"/>
        </w:rPr>
        <w:t>（</w:t>
      </w:r>
      <w:r>
        <w:rPr>
          <w:rFonts w:hint="eastAsia" w:ascii="宋体" w:hAnsi="宋体" w:eastAsia="宋体" w:cs="宋体"/>
          <w:spacing w:val="-15"/>
          <w:sz w:val="30"/>
          <w:szCs w:val="30"/>
          <w:highlight w:val="none"/>
          <w:lang w:val="en-US" w:eastAsia="zh-CN"/>
        </w:rPr>
        <w:t>3</w:t>
      </w:r>
      <w:r>
        <w:rPr>
          <w:rFonts w:hint="eastAsia" w:ascii="宋体" w:hAnsi="宋体" w:eastAsia="宋体" w:cs="宋体"/>
          <w:spacing w:val="-15"/>
          <w:sz w:val="30"/>
          <w:szCs w:val="30"/>
          <w:highlight w:val="none"/>
          <w:lang w:eastAsia="zh-CN"/>
        </w:rPr>
        <w:t>）时效指标</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2022年12月5日监理开出开工令。2022年12月5日至12月16日，桥西、桥北、夏林、前化现场交底。</w:t>
      </w:r>
      <w:bookmarkStart w:id="4" w:name="_GoBack"/>
      <w:bookmarkEnd w:id="4"/>
      <w:r>
        <w:rPr>
          <w:rFonts w:hint="eastAsia" w:ascii="宋体" w:hAnsi="宋体" w:eastAsia="宋体" w:cs="宋体"/>
          <w:spacing w:val="-15"/>
          <w:sz w:val="30"/>
          <w:szCs w:val="30"/>
          <w:lang w:eastAsia="zh-CN"/>
        </w:rPr>
        <w:t>2022年12月16日至12月20日，根据现场交底情况备料。</w:t>
      </w:r>
      <w:r>
        <w:rPr>
          <w:rFonts w:hint="eastAsia" w:ascii="宋体" w:hAnsi="宋体" w:eastAsia="宋体" w:cs="宋体"/>
          <w:spacing w:val="-15"/>
          <w:sz w:val="30"/>
          <w:szCs w:val="30"/>
          <w:lang w:val="en-US" w:eastAsia="zh-CN"/>
        </w:rPr>
        <w:t>2022年12月20日至2023年12月31日，夏林、前化、桥北、桥西进场切缝、开挖、破碎，敷设埋地管。</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4</w:t>
      </w:r>
      <w:r>
        <w:rPr>
          <w:rFonts w:hint="eastAsia" w:ascii="宋体" w:hAnsi="宋体" w:eastAsia="宋体" w:cs="宋体"/>
          <w:spacing w:val="-15"/>
          <w:sz w:val="30"/>
          <w:szCs w:val="30"/>
          <w:lang w:eastAsia="zh-CN"/>
        </w:rPr>
        <w:t>）成本指标</w:t>
      </w:r>
    </w:p>
    <w:p>
      <w:p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eastAsia="zh-CN"/>
        </w:rPr>
        <w:t>年度计划成本偏离率</w:t>
      </w:r>
      <w:r>
        <w:rPr>
          <w:rFonts w:hint="eastAsia" w:ascii="宋体" w:hAnsi="宋体" w:eastAsia="宋体" w:cs="宋体"/>
          <w:spacing w:val="-15"/>
          <w:sz w:val="30"/>
          <w:szCs w:val="30"/>
          <w:lang w:val="en-US" w:eastAsia="zh-CN"/>
        </w:rPr>
        <w:t>0%。</w:t>
      </w:r>
    </w:p>
    <w:p>
      <w:p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三</w:t>
      </w: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效益</w:t>
      </w:r>
    </w:p>
    <w:p>
      <w:p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经济效益</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经批准的可研投资估算作为成本控制的依据，</w:t>
      </w:r>
      <w:r>
        <w:rPr>
          <w:rFonts w:hint="eastAsia" w:ascii="宋体" w:hAnsi="宋体" w:eastAsia="宋体" w:cs="宋体"/>
          <w:spacing w:val="-15"/>
          <w:sz w:val="30"/>
          <w:szCs w:val="30"/>
          <w:lang w:val="en-US" w:eastAsia="zh-CN"/>
        </w:rPr>
        <w:t>不</w:t>
      </w:r>
      <w:r>
        <w:rPr>
          <w:rFonts w:hint="eastAsia" w:ascii="宋体" w:hAnsi="宋体" w:eastAsia="宋体" w:cs="宋体"/>
          <w:spacing w:val="-15"/>
          <w:sz w:val="30"/>
          <w:szCs w:val="30"/>
          <w:lang w:eastAsia="zh-CN"/>
        </w:rPr>
        <w:t>超可研总投资批复的10%。</w:t>
      </w:r>
    </w:p>
    <w:p>
      <w:pPr>
        <w:numPr>
          <w:ilvl w:val="0"/>
          <w:numId w:val="4"/>
        </w:numPr>
        <w:adjustRightInd w:val="0"/>
        <w:snapToGrid w:val="0"/>
        <w:spacing w:line="574" w:lineRule="exact"/>
        <w:ind w:firstLine="540" w:firstLineChars="200"/>
        <w:jc w:val="both"/>
        <w:rPr>
          <w:rFonts w:hint="eastAsia"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 xml:space="preserve">社会效益 </w:t>
      </w:r>
    </w:p>
    <w:p>
      <w:pPr>
        <w:numPr>
          <w:ilvl w:val="0"/>
          <w:numId w:val="0"/>
        </w:numPr>
        <w:adjustRightInd w:val="0"/>
        <w:snapToGrid w:val="0"/>
        <w:spacing w:line="574" w:lineRule="exact"/>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 xml:space="preserve">     施工期间未受交通部门处罚。</w:t>
      </w:r>
    </w:p>
    <w:p>
      <w:pPr>
        <w:numPr>
          <w:ilvl w:val="0"/>
          <w:numId w:val="4"/>
        </w:num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生态效益</w:t>
      </w:r>
    </w:p>
    <w:p>
      <w:pPr>
        <w:numPr>
          <w:ilvl w:val="0"/>
          <w:numId w:val="0"/>
        </w:numPr>
        <w:adjustRightInd w:val="0"/>
        <w:snapToGrid w:val="0"/>
        <w:spacing w:line="574" w:lineRule="exact"/>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 xml:space="preserve">     施工现场环境保护符合要求，未受环保部门处罚。</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四</w:t>
      </w:r>
      <w:r>
        <w:rPr>
          <w:rFonts w:hint="eastAsia" w:ascii="宋体" w:hAnsi="宋体" w:eastAsia="宋体" w:cs="宋体"/>
          <w:spacing w:val="-15"/>
          <w:sz w:val="30"/>
          <w:szCs w:val="30"/>
          <w:lang w:eastAsia="zh-CN"/>
        </w:rPr>
        <w:t>）满意度</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 项目全面分析所涉及区域、行业群众利益和生产生活的影响，及群众对影响的承受能力。经过充分论证，项目符合大多数人民群众的意愿，所需的人力、财力、物力在可承受的范围内并且有保障，能确保连续性和稳定性。</w:t>
      </w:r>
      <w:r>
        <w:rPr>
          <w:rFonts w:hint="eastAsia" w:ascii="宋体" w:hAnsi="宋体" w:eastAsia="宋体" w:cs="宋体"/>
          <w:spacing w:val="-15"/>
          <w:sz w:val="30"/>
          <w:szCs w:val="30"/>
          <w:lang w:val="en-US" w:eastAsia="zh-CN"/>
        </w:rPr>
        <w:t>项目建设过程中，</w:t>
      </w:r>
      <w:r>
        <w:rPr>
          <w:rFonts w:hint="eastAsia" w:ascii="宋体" w:hAnsi="宋体" w:eastAsia="宋体" w:cs="宋体"/>
          <w:spacing w:val="-15"/>
          <w:sz w:val="30"/>
          <w:szCs w:val="30"/>
          <w:lang w:eastAsia="zh-CN"/>
        </w:rPr>
        <w:t>未受</w:t>
      </w:r>
      <w:r>
        <w:rPr>
          <w:rFonts w:hint="eastAsia" w:ascii="宋体" w:hAnsi="宋体" w:eastAsia="宋体" w:cs="宋体"/>
          <w:spacing w:val="-15"/>
          <w:sz w:val="30"/>
          <w:szCs w:val="30"/>
          <w:lang w:val="en-US" w:eastAsia="zh-CN"/>
        </w:rPr>
        <w:t>到周边居民的</w:t>
      </w:r>
      <w:r>
        <w:rPr>
          <w:rFonts w:hint="eastAsia" w:ascii="宋体" w:hAnsi="宋体" w:eastAsia="宋体" w:cs="宋体"/>
          <w:spacing w:val="-15"/>
          <w:sz w:val="30"/>
          <w:szCs w:val="30"/>
          <w:lang w:eastAsia="zh-CN"/>
        </w:rPr>
        <w:t>投诉。</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经过综合评价，自评得分</w:t>
      </w:r>
      <w:r>
        <w:rPr>
          <w:rFonts w:hint="eastAsia" w:ascii="宋体" w:hAnsi="宋体" w:eastAsia="宋体" w:cs="宋体"/>
          <w:sz w:val="30"/>
          <w:szCs w:val="30"/>
          <w:highlight w:val="none"/>
          <w:lang w:eastAsia="zh-CN"/>
        </w:rPr>
        <w:t>为</w:t>
      </w:r>
      <w:r>
        <w:rPr>
          <w:rFonts w:hint="eastAsia" w:ascii="宋体" w:hAnsi="宋体" w:eastAsia="宋体" w:cs="宋体"/>
          <w:sz w:val="30"/>
          <w:szCs w:val="30"/>
          <w:highlight w:val="none"/>
          <w:lang w:val="en-US" w:eastAsia="zh-CN"/>
        </w:rPr>
        <w:t>93.45</w:t>
      </w:r>
      <w:r>
        <w:rPr>
          <w:rFonts w:hint="eastAsia" w:ascii="宋体" w:hAnsi="宋体" w:eastAsia="宋体" w:cs="宋体"/>
          <w:sz w:val="30"/>
          <w:szCs w:val="30"/>
          <w:highlight w:val="none"/>
          <w:lang w:eastAsia="zh-CN"/>
        </w:rPr>
        <w:t>分</w:t>
      </w:r>
      <w:r>
        <w:rPr>
          <w:rFonts w:hint="eastAsia" w:ascii="宋体" w:hAnsi="宋体" w:eastAsia="宋体" w:cs="宋体"/>
          <w:sz w:val="30"/>
          <w:szCs w:val="30"/>
          <w:lang w:eastAsia="zh-CN"/>
        </w:rPr>
        <w:t>，项目评价等级为优。</w:t>
      </w:r>
    </w:p>
    <w:p>
      <w:pPr>
        <w:numPr>
          <w:ilvl w:val="0"/>
          <w:numId w:val="5"/>
        </w:numPr>
        <w:adjustRightInd w:val="0"/>
        <w:snapToGrid w:val="0"/>
        <w:spacing w:line="574" w:lineRule="exact"/>
        <w:ind w:firstLine="602" w:firstLineChars="200"/>
        <w:jc w:val="both"/>
        <w:rPr>
          <w:rFonts w:ascii="宋体" w:hAnsi="宋体" w:eastAsia="宋体" w:cs="宋体"/>
          <w:sz w:val="30"/>
          <w:szCs w:val="30"/>
          <w:lang w:eastAsia="zh-CN"/>
        </w:rPr>
      </w:pPr>
      <w:r>
        <w:rPr>
          <w:rFonts w:hint="eastAsia" w:ascii="宋体" w:hAnsi="宋体" w:eastAsia="宋体" w:cs="宋体"/>
          <w:b/>
          <w:bCs/>
          <w:sz w:val="30"/>
          <w:szCs w:val="30"/>
          <w:lang w:eastAsia="zh-CN"/>
        </w:rPr>
        <w:t>项目绩效</w:t>
      </w:r>
    </w:p>
    <w:p>
      <w:pPr>
        <w:numPr>
          <w:ilvl w:val="0"/>
          <w:numId w:val="6"/>
        </w:numPr>
        <w:adjustRightInd w:val="0"/>
        <w:snapToGrid w:val="0"/>
        <w:spacing w:line="574" w:lineRule="exact"/>
        <w:ind w:firstLine="54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投资管理</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按照项目实施进度、合同约定等向财政部门申请拨付资金。项目开工后，积极推进施工过程结算，按照时间节点或者进度节点约定付款周期，对分部质量验收通过的工程量，原则上同步计量、确认和支付工程价款。</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2、</w:t>
      </w:r>
      <w:r>
        <w:rPr>
          <w:rFonts w:hint="eastAsia" w:ascii="宋体" w:hAnsi="宋体" w:eastAsia="宋体" w:cs="宋体"/>
          <w:spacing w:val="-15"/>
          <w:sz w:val="30"/>
          <w:szCs w:val="30"/>
          <w:lang w:eastAsia="zh-CN"/>
        </w:rPr>
        <w:t>本项目资金的使用完全在投资估算范围内，未发生超出估算的情况，项目资金按计划使用情况良好。</w:t>
      </w:r>
    </w:p>
    <w:p>
      <w:pPr>
        <w:numPr>
          <w:ilvl w:val="0"/>
          <w:numId w:val="6"/>
        </w:numPr>
        <w:adjustRightInd w:val="0"/>
        <w:snapToGrid w:val="0"/>
        <w:spacing w:line="574" w:lineRule="exact"/>
        <w:ind w:firstLine="54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 xml:space="preserve">质量管理   </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建立健全工程项目质量管理体系，配备专职人员并明确其质量管理职责。法定代表人按照规定签署授权书，明确项目负责人，项目负责人按照规定签署工程质量终身责任承诺书。</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2、项目开工后，将</w:t>
      </w:r>
      <w:r>
        <w:rPr>
          <w:rFonts w:hint="eastAsia" w:ascii="宋体" w:hAnsi="宋体" w:eastAsia="宋体" w:cs="宋体"/>
          <w:spacing w:val="-15"/>
          <w:sz w:val="30"/>
          <w:szCs w:val="30"/>
          <w:lang w:eastAsia="zh-CN"/>
        </w:rPr>
        <w:t>督促勘察、设计、施工、监理等单位切实履行质量责任，按照工程质量管理标准化的要求贯彻落实工程质量安全手册制度、举牌验收制度、样板示范制度和质量责任追溯制度，严格按照合同约定加强对现场质量管理人员到岗履职情况的检查考核，及时组织处理建设过程中的质量问题。</w:t>
      </w:r>
    </w:p>
    <w:p>
      <w:pPr>
        <w:adjustRightInd w:val="0"/>
        <w:snapToGrid w:val="0"/>
        <w:spacing w:line="574" w:lineRule="exact"/>
        <w:ind w:firstLine="540" w:firstLineChars="200"/>
        <w:jc w:val="both"/>
        <w:rPr>
          <w:rFonts w:ascii="宋体" w:hAnsi="宋体" w:eastAsia="宋体" w:cs="宋体"/>
          <w:spacing w:val="-15"/>
          <w:sz w:val="30"/>
          <w:szCs w:val="30"/>
          <w:lang w:eastAsia="zh-CN"/>
        </w:rPr>
      </w:pPr>
      <w:r>
        <w:rPr>
          <w:rFonts w:hint="eastAsia" w:ascii="宋体" w:hAnsi="宋体" w:eastAsia="宋体" w:cs="宋体"/>
          <w:spacing w:val="-15"/>
          <w:sz w:val="30"/>
          <w:szCs w:val="30"/>
          <w:lang w:val="en-US" w:eastAsia="zh-CN"/>
        </w:rPr>
        <w:t>3、</w:t>
      </w:r>
      <w:r>
        <w:rPr>
          <w:rFonts w:hint="eastAsia" w:ascii="宋体" w:hAnsi="宋体" w:eastAsia="宋体" w:cs="宋体"/>
          <w:spacing w:val="-15"/>
          <w:sz w:val="30"/>
          <w:szCs w:val="30"/>
          <w:lang w:eastAsia="zh-CN"/>
        </w:rPr>
        <w:t>严格质量检测管理，将委托第三方检测机构对工程实施过程中原材料、半成品等进行抽检试验，对工程实体的质量进行现场检测。</w:t>
      </w:r>
    </w:p>
    <w:p>
      <w:pPr>
        <w:adjustRightInd w:val="0"/>
        <w:snapToGrid w:val="0"/>
        <w:spacing w:line="574" w:lineRule="exact"/>
        <w:ind w:firstLine="540" w:firstLineChars="200"/>
        <w:jc w:val="both"/>
        <w:rPr>
          <w:rFonts w:hint="default" w:ascii="宋体" w:hAnsi="宋体" w:eastAsia="宋体" w:cs="宋体"/>
          <w:spacing w:val="-15"/>
          <w:sz w:val="30"/>
          <w:szCs w:val="30"/>
          <w:highlight w:val="none"/>
          <w:lang w:val="en-US" w:eastAsia="zh-CN"/>
        </w:rPr>
      </w:pPr>
      <w:r>
        <w:rPr>
          <w:rFonts w:hint="eastAsia" w:ascii="宋体" w:hAnsi="宋体" w:eastAsia="宋体" w:cs="宋体"/>
          <w:spacing w:val="-15"/>
          <w:sz w:val="30"/>
          <w:szCs w:val="30"/>
          <w:highlight w:val="none"/>
          <w:lang w:eastAsia="zh-CN"/>
        </w:rPr>
        <w:t>（三）</w:t>
      </w:r>
      <w:r>
        <w:rPr>
          <w:rFonts w:hint="eastAsia" w:ascii="宋体" w:hAnsi="宋体" w:eastAsia="宋体" w:cs="宋体"/>
          <w:spacing w:val="-15"/>
          <w:sz w:val="30"/>
          <w:szCs w:val="30"/>
          <w:highlight w:val="none"/>
          <w:lang w:val="en-US" w:eastAsia="zh-CN"/>
        </w:rPr>
        <w:t>进度管理</w:t>
      </w:r>
    </w:p>
    <w:p>
      <w:pPr>
        <w:adjustRightInd w:val="0"/>
        <w:snapToGrid w:val="0"/>
        <w:spacing w:line="574" w:lineRule="exact"/>
        <w:ind w:firstLine="540" w:firstLineChars="200"/>
        <w:jc w:val="both"/>
        <w:rPr>
          <w:rFonts w:hint="eastAsia"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1、</w:t>
      </w:r>
      <w:r>
        <w:rPr>
          <w:rFonts w:hint="eastAsia" w:ascii="宋体" w:hAnsi="宋体" w:eastAsia="宋体" w:cs="宋体"/>
          <w:spacing w:val="-15"/>
          <w:sz w:val="30"/>
          <w:szCs w:val="30"/>
          <w:lang w:eastAsia="zh-CN"/>
        </w:rPr>
        <w:t>严格按照现行建设工程管理程序编制报审程序、网络图指导，组织实施各环节的工作。运用关键线路控制原则，对影响项目开工建设及后续工作开展的工作、程序实施重点控制。审批过程中，保持与审批部门的联系，主动了解审批进度，可能的情况下予以协调，以促进审批进度，缩短审批时间。</w:t>
      </w:r>
      <w:r>
        <w:rPr>
          <w:rFonts w:hint="eastAsia" w:ascii="宋体" w:hAnsi="宋体" w:eastAsia="宋体" w:cs="宋体"/>
          <w:spacing w:val="-15"/>
          <w:sz w:val="30"/>
          <w:szCs w:val="30"/>
          <w:lang w:val="en-US" w:eastAsia="zh-CN"/>
        </w:rPr>
        <w:t xml:space="preserve"> </w:t>
      </w:r>
    </w:p>
    <w:p>
      <w:pPr>
        <w:adjustRightInd w:val="0"/>
        <w:snapToGrid w:val="0"/>
        <w:spacing w:line="574" w:lineRule="exact"/>
        <w:ind w:firstLine="540" w:firstLineChars="200"/>
        <w:jc w:val="both"/>
        <w:rPr>
          <w:rFonts w:hint="eastAsia" w:ascii="宋体" w:hAnsi="宋体" w:eastAsia="宋体" w:cs="宋体"/>
          <w:spacing w:val="-15"/>
          <w:sz w:val="30"/>
          <w:szCs w:val="30"/>
          <w:lang w:val="en-US" w:eastAsia="zh-CN"/>
        </w:rPr>
      </w:pPr>
      <w:r>
        <w:rPr>
          <w:rFonts w:hint="eastAsia" w:ascii="宋体" w:hAnsi="宋体" w:eastAsia="宋体" w:cs="宋体"/>
          <w:spacing w:val="-15"/>
          <w:sz w:val="30"/>
          <w:szCs w:val="30"/>
          <w:lang w:val="en-US" w:eastAsia="zh-CN"/>
        </w:rPr>
        <w:t>2、要求各参建单位严格按照节点控制进度，与进度计划对比，评估进度的完成情况，若有滞后计划的情况，向参建单位发函，要求其采取合理措施调整进度。</w:t>
      </w:r>
    </w:p>
    <w:p>
      <w:p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eastAsia="zh-CN"/>
        </w:rPr>
        <w:t>（四）</w:t>
      </w:r>
      <w:r>
        <w:rPr>
          <w:rFonts w:hint="eastAsia" w:ascii="宋体" w:hAnsi="宋体" w:eastAsia="宋体" w:cs="宋体"/>
          <w:spacing w:val="-15"/>
          <w:sz w:val="30"/>
          <w:szCs w:val="30"/>
          <w:lang w:val="en-US" w:eastAsia="zh-CN"/>
        </w:rPr>
        <w:t>安全管理</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 </w:t>
      </w:r>
      <w:r>
        <w:rPr>
          <w:rFonts w:hint="eastAsia" w:ascii="宋体" w:hAnsi="宋体" w:eastAsia="宋体" w:cs="宋体"/>
          <w:spacing w:val="-15"/>
          <w:sz w:val="30"/>
          <w:szCs w:val="30"/>
          <w:lang w:val="en-US" w:eastAsia="zh-CN"/>
        </w:rPr>
        <w:t>项目开工后，将</w:t>
      </w:r>
      <w:r>
        <w:rPr>
          <w:rFonts w:hint="eastAsia" w:ascii="宋体" w:hAnsi="宋体" w:eastAsia="宋体" w:cs="宋体"/>
          <w:spacing w:val="-15"/>
          <w:sz w:val="30"/>
          <w:szCs w:val="30"/>
          <w:lang w:eastAsia="zh-CN"/>
        </w:rPr>
        <w:t xml:space="preserve">开展安全巡查和检查，并对发现的问题向承包人提出相关建议，及时督促相关单位整改，跟踪整改情况；检查关键工程的工艺性试验；对质量缺陷、质量事故进行检查并提交报告；按照行业主管部门、上级有关单位的要求开展质量安全专项活动。  </w:t>
      </w:r>
    </w:p>
    <w:p>
      <w:pPr>
        <w:adjustRightInd w:val="0"/>
        <w:snapToGrid w:val="0"/>
        <w:spacing w:line="574" w:lineRule="exact"/>
        <w:ind w:firstLine="540" w:firstLineChars="200"/>
        <w:jc w:val="both"/>
        <w:rPr>
          <w:rFonts w:hint="default" w:ascii="宋体" w:hAnsi="宋体" w:eastAsia="宋体" w:cs="宋体"/>
          <w:spacing w:val="-15"/>
          <w:sz w:val="30"/>
          <w:szCs w:val="30"/>
          <w:lang w:val="en-US" w:eastAsia="zh-CN"/>
        </w:rPr>
      </w:pP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五</w:t>
      </w:r>
      <w:r>
        <w:rPr>
          <w:rFonts w:hint="eastAsia" w:ascii="宋体" w:hAnsi="宋体" w:eastAsia="宋体" w:cs="宋体"/>
          <w:spacing w:val="-15"/>
          <w:sz w:val="30"/>
          <w:szCs w:val="30"/>
          <w:lang w:eastAsia="zh-CN"/>
        </w:rPr>
        <w:t>）</w:t>
      </w:r>
      <w:r>
        <w:rPr>
          <w:rFonts w:hint="eastAsia" w:ascii="宋体" w:hAnsi="宋体" w:eastAsia="宋体" w:cs="宋体"/>
          <w:spacing w:val="-15"/>
          <w:sz w:val="30"/>
          <w:szCs w:val="30"/>
          <w:lang w:val="en-US" w:eastAsia="zh-CN"/>
        </w:rPr>
        <w:t xml:space="preserve">档案管理 </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1、了解部门的工作业务开展情况，掌握部门文件材料的归档范围，收集部门的文件材料；整理文件时应遵循文件的形成规律和特点，保持文件之间的有机联系。  </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2、认真执行平时归档制度，对部门承办工作所产生的文件材料应及时收集，进行分类登记，归档，部门资料员应自行编制档案目录。  </w:t>
      </w:r>
    </w:p>
    <w:p>
      <w:pPr>
        <w:adjustRightInd w:val="0"/>
        <w:snapToGrid w:val="0"/>
        <w:spacing w:line="574" w:lineRule="exact"/>
        <w:ind w:firstLine="540" w:firstLineChars="200"/>
        <w:jc w:val="both"/>
        <w:rPr>
          <w:rFonts w:hint="eastAsia" w:ascii="宋体" w:hAnsi="宋体" w:eastAsia="宋体" w:cs="宋体"/>
          <w:spacing w:val="-15"/>
          <w:sz w:val="30"/>
          <w:szCs w:val="30"/>
          <w:lang w:eastAsia="zh-CN"/>
        </w:rPr>
      </w:pPr>
      <w:r>
        <w:rPr>
          <w:rFonts w:hint="eastAsia" w:ascii="宋体" w:hAnsi="宋体" w:eastAsia="宋体" w:cs="宋体"/>
          <w:spacing w:val="-15"/>
          <w:sz w:val="30"/>
          <w:szCs w:val="30"/>
          <w:lang w:eastAsia="zh-CN"/>
        </w:rPr>
        <w:t xml:space="preserve">3、移交档案时，如有电子文档应同时移交相关文件，对于具有重要保存价值的电子文件，应备份内容相同的纸质文件同时归档。对于部门业务工作中仍需使用的文件和资料，应在归档前自行制作复印件，并在本部门内妥善保管。 </w:t>
      </w:r>
    </w:p>
    <w:p>
      <w:pPr>
        <w:adjustRightInd w:val="0"/>
        <w:snapToGrid w:val="0"/>
        <w:spacing w:line="574" w:lineRule="exact"/>
        <w:ind w:firstLine="602" w:firstLineChars="200"/>
        <w:jc w:val="both"/>
        <w:rPr>
          <w:rFonts w:ascii="宋体" w:hAnsi="宋体" w:eastAsia="宋体" w:cs="宋体"/>
          <w:sz w:val="30"/>
          <w:szCs w:val="30"/>
          <w:lang w:eastAsia="zh-CN"/>
        </w:rPr>
      </w:pPr>
      <w:r>
        <w:rPr>
          <w:rFonts w:hint="eastAsia" w:ascii="宋体" w:hAnsi="宋体" w:eastAsia="宋体" w:cs="宋体"/>
          <w:b/>
          <w:bCs/>
          <w:sz w:val="30"/>
          <w:szCs w:val="30"/>
          <w:lang w:eastAsia="zh-CN"/>
        </w:rPr>
        <w:t>四、存在问题</w:t>
      </w:r>
      <w:r>
        <w:rPr>
          <w:rFonts w:hint="eastAsia" w:ascii="宋体" w:hAnsi="宋体" w:eastAsia="宋体" w:cs="宋体"/>
          <w:sz w:val="30"/>
          <w:szCs w:val="30"/>
          <w:lang w:eastAsia="zh-CN"/>
        </w:rPr>
        <w:t>。</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进一步加强债券项目和资金管理，不断推进项目工程进度，加快债券资金支出进度，确保工程进度与资金支付进度相符。</w:t>
      </w:r>
    </w:p>
    <w:p>
      <w:pPr>
        <w:spacing w:line="574" w:lineRule="exact"/>
        <w:ind w:firstLine="602" w:firstLineChars="200"/>
        <w:jc w:val="both"/>
        <w:rPr>
          <w:rFonts w:ascii="宋体" w:hAnsi="宋体" w:eastAsia="宋体" w:cs="宋体"/>
          <w:sz w:val="30"/>
          <w:szCs w:val="30"/>
          <w:lang w:eastAsia="zh-CN"/>
        </w:rPr>
      </w:pPr>
      <w:r>
        <w:rPr>
          <w:rFonts w:hint="eastAsia" w:ascii="宋体" w:hAnsi="宋体" w:eastAsia="宋体" w:cs="宋体"/>
          <w:b/>
          <w:bCs/>
          <w:sz w:val="30"/>
          <w:szCs w:val="30"/>
          <w:lang w:eastAsia="zh-CN"/>
        </w:rPr>
        <w:t>五、有关建议</w:t>
      </w:r>
    </w:p>
    <w:p>
      <w:pPr>
        <w:spacing w:line="574" w:lineRule="exact"/>
        <w:ind w:firstLine="600" w:firstLineChars="200"/>
        <w:jc w:val="both"/>
        <w:rPr>
          <w:rFonts w:ascii="宋体" w:hAnsi="宋体" w:eastAsia="宋体" w:cs="宋体"/>
          <w:sz w:val="30"/>
          <w:szCs w:val="30"/>
          <w:lang w:eastAsia="zh-CN"/>
        </w:rPr>
      </w:pPr>
      <w:r>
        <w:rPr>
          <w:rFonts w:hint="eastAsia" w:ascii="宋体" w:hAnsi="宋体" w:eastAsia="宋体" w:cs="宋体"/>
          <w:sz w:val="30"/>
          <w:szCs w:val="30"/>
          <w:lang w:eastAsia="zh-CN"/>
        </w:rPr>
        <w:t>项目绩效目标不够完善，完整性和合理性有待提高。今后将强化绩效目标管理，提高绩效目标填报的完整性、合理性、科学性。项目所设定的绩效目标依据充分，符合客观实际工作内容。绩效指标与项目目标任务数或政府投资计划相对应，确保绩效目标的完整性、合理性、科学性。</w:t>
      </w:r>
    </w:p>
    <w:p>
      <w:pPr>
        <w:numPr>
          <w:ilvl w:val="0"/>
          <w:numId w:val="7"/>
        </w:numPr>
        <w:spacing w:line="574" w:lineRule="exact"/>
        <w:ind w:firstLine="602" w:firstLineChars="200"/>
        <w:jc w:val="both"/>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附件</w:t>
      </w:r>
      <w:bookmarkStart w:id="0" w:name="附件4_项目支出绩效评价工作方案提纲"/>
      <w:bookmarkEnd w:id="0"/>
      <w:bookmarkStart w:id="1" w:name="附件3_项目支出绩效评价指标体系框架"/>
      <w:bookmarkEnd w:id="1"/>
      <w:bookmarkStart w:id="2" w:name="苏财规2020-020附件-3"/>
      <w:bookmarkEnd w:id="2"/>
      <w:bookmarkStart w:id="3" w:name="苏财规2020-020附件-4"/>
      <w:bookmarkEnd w:id="3"/>
    </w:p>
    <w:p>
      <w:pPr>
        <w:spacing w:line="574" w:lineRule="exact"/>
        <w:ind w:firstLine="600" w:firstLineChars="200"/>
        <w:jc w:val="both"/>
        <w:rPr>
          <w:rFonts w:hint="eastAsia" w:ascii="宋体" w:hAnsi="宋体" w:eastAsia="宋体" w:cs="宋体"/>
          <w:sz w:val="30"/>
          <w:szCs w:val="30"/>
          <w:lang w:eastAsia="zh-CN"/>
        </w:rPr>
      </w:pPr>
      <w:r>
        <w:rPr>
          <w:rFonts w:hint="eastAsia" w:ascii="宋体" w:hAnsi="宋体" w:eastAsia="宋体" w:cs="宋体"/>
          <w:sz w:val="30"/>
          <w:szCs w:val="30"/>
          <w:lang w:val="en-US" w:eastAsia="zh-CN"/>
        </w:rPr>
        <w:t>1、绩效自评价评分表</w:t>
      </w:r>
    </w:p>
    <w:p>
      <w:pPr>
        <w:numPr>
          <w:ilvl w:val="0"/>
          <w:numId w:val="0"/>
        </w:numPr>
        <w:spacing w:line="574" w:lineRule="exact"/>
        <w:jc w:val="both"/>
        <w:rPr>
          <w:rFonts w:hint="eastAsia" w:ascii="宋体" w:hAnsi="宋体" w:eastAsia="宋体" w:cs="宋体"/>
          <w:b/>
          <w:bCs/>
          <w:sz w:val="30"/>
          <w:szCs w:val="30"/>
          <w:lang w:eastAsia="zh-CN"/>
        </w:rPr>
      </w:pPr>
    </w:p>
    <w:sectPr>
      <w:pgSz w:w="11910" w:h="16840"/>
      <w:pgMar w:top="1984" w:right="1134" w:bottom="1984" w:left="141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E595"/>
    <w:multiLevelType w:val="singleLevel"/>
    <w:tmpl w:val="8B1EE595"/>
    <w:lvl w:ilvl="0" w:tentative="0">
      <w:start w:val="1"/>
      <w:numFmt w:val="decimal"/>
      <w:suff w:val="nothing"/>
      <w:lvlText w:val="%1、"/>
      <w:lvlJc w:val="left"/>
    </w:lvl>
  </w:abstractNum>
  <w:abstractNum w:abstractNumId="1">
    <w:nsid w:val="A7ECF659"/>
    <w:multiLevelType w:val="singleLevel"/>
    <w:tmpl w:val="A7ECF659"/>
    <w:lvl w:ilvl="0" w:tentative="0">
      <w:start w:val="6"/>
      <w:numFmt w:val="chineseCounting"/>
      <w:suff w:val="nothing"/>
      <w:lvlText w:val="%1、"/>
      <w:lvlJc w:val="left"/>
      <w:rPr>
        <w:rFonts w:hint="eastAsia"/>
      </w:rPr>
    </w:lvl>
  </w:abstractNum>
  <w:abstractNum w:abstractNumId="2">
    <w:nsid w:val="0648E829"/>
    <w:multiLevelType w:val="singleLevel"/>
    <w:tmpl w:val="0648E829"/>
    <w:lvl w:ilvl="0" w:tentative="0">
      <w:start w:val="1"/>
      <w:numFmt w:val="chineseCounting"/>
      <w:suff w:val="nothing"/>
      <w:lvlText w:val="（%1）"/>
      <w:lvlJc w:val="left"/>
      <w:rPr>
        <w:rFonts w:hint="eastAsia"/>
      </w:rPr>
    </w:lvl>
  </w:abstractNum>
  <w:abstractNum w:abstractNumId="3">
    <w:nsid w:val="16502C84"/>
    <w:multiLevelType w:val="singleLevel"/>
    <w:tmpl w:val="16502C84"/>
    <w:lvl w:ilvl="0" w:tentative="0">
      <w:start w:val="2"/>
      <w:numFmt w:val="decimal"/>
      <w:suff w:val="nothing"/>
      <w:lvlText w:val="（%1）"/>
      <w:lvlJc w:val="left"/>
    </w:lvl>
  </w:abstractNum>
  <w:abstractNum w:abstractNumId="4">
    <w:nsid w:val="5477D830"/>
    <w:multiLevelType w:val="singleLevel"/>
    <w:tmpl w:val="5477D830"/>
    <w:lvl w:ilvl="0" w:tentative="0">
      <w:start w:val="3"/>
      <w:numFmt w:val="chineseCounting"/>
      <w:suff w:val="nothing"/>
      <w:lvlText w:val="%1、"/>
      <w:lvlJc w:val="left"/>
      <w:rPr>
        <w:rFonts w:hint="eastAsia"/>
      </w:rPr>
    </w:lvl>
  </w:abstractNum>
  <w:abstractNum w:abstractNumId="5">
    <w:nsid w:val="5AFE4926"/>
    <w:multiLevelType w:val="singleLevel"/>
    <w:tmpl w:val="5AFE4926"/>
    <w:lvl w:ilvl="0" w:tentative="0">
      <w:start w:val="2"/>
      <w:numFmt w:val="chineseCounting"/>
      <w:suff w:val="nothing"/>
      <w:lvlText w:val="（%1）"/>
      <w:lvlJc w:val="left"/>
      <w:pPr>
        <w:ind w:left="-160"/>
      </w:pPr>
      <w:rPr>
        <w:rFonts w:hint="eastAsia"/>
      </w:rPr>
    </w:lvl>
  </w:abstractNum>
  <w:abstractNum w:abstractNumId="6">
    <w:nsid w:val="776AF386"/>
    <w:multiLevelType w:val="singleLevel"/>
    <w:tmpl w:val="776AF386"/>
    <w:lvl w:ilvl="0" w:tentative="0">
      <w:start w:val="2"/>
      <w:numFmt w:val="decimal"/>
      <w:suff w:val="nothing"/>
      <w:lvlText w:val="%1、"/>
      <w:lvlJc w:val="left"/>
    </w:lvl>
  </w:abstractNum>
  <w:num w:numId="1">
    <w:abstractNumId w:val="5"/>
  </w:num>
  <w:num w:numId="2">
    <w:abstractNumId w:val="6"/>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wOGJlM2MwYTQ1ZjViODE0ZDU4ODIwMzJjNGNiY2IifQ=="/>
  </w:docVars>
  <w:rsids>
    <w:rsidRoot w:val="006A0286"/>
    <w:rsid w:val="0000186F"/>
    <w:rsid w:val="00027842"/>
    <w:rsid w:val="000F0010"/>
    <w:rsid w:val="001076FD"/>
    <w:rsid w:val="00112A3C"/>
    <w:rsid w:val="0012335B"/>
    <w:rsid w:val="00170EBA"/>
    <w:rsid w:val="001D43CE"/>
    <w:rsid w:val="001E1F08"/>
    <w:rsid w:val="001F5652"/>
    <w:rsid w:val="002034C4"/>
    <w:rsid w:val="00223670"/>
    <w:rsid w:val="002F39B9"/>
    <w:rsid w:val="00317F35"/>
    <w:rsid w:val="003D4D43"/>
    <w:rsid w:val="003E2E24"/>
    <w:rsid w:val="00412A90"/>
    <w:rsid w:val="00427AA3"/>
    <w:rsid w:val="00453872"/>
    <w:rsid w:val="00485FCA"/>
    <w:rsid w:val="00496584"/>
    <w:rsid w:val="004B1555"/>
    <w:rsid w:val="004E3E98"/>
    <w:rsid w:val="004F2889"/>
    <w:rsid w:val="00541FD2"/>
    <w:rsid w:val="0055497B"/>
    <w:rsid w:val="0058181F"/>
    <w:rsid w:val="005C5968"/>
    <w:rsid w:val="005D094F"/>
    <w:rsid w:val="005D61F8"/>
    <w:rsid w:val="006032DC"/>
    <w:rsid w:val="006A0286"/>
    <w:rsid w:val="006F1257"/>
    <w:rsid w:val="006F2AB8"/>
    <w:rsid w:val="00705B52"/>
    <w:rsid w:val="00721281"/>
    <w:rsid w:val="0072674E"/>
    <w:rsid w:val="007416BA"/>
    <w:rsid w:val="0075652D"/>
    <w:rsid w:val="00784065"/>
    <w:rsid w:val="007A754E"/>
    <w:rsid w:val="00830C91"/>
    <w:rsid w:val="008C735A"/>
    <w:rsid w:val="008D7527"/>
    <w:rsid w:val="008F6FC9"/>
    <w:rsid w:val="00926E98"/>
    <w:rsid w:val="0095504B"/>
    <w:rsid w:val="009B2D68"/>
    <w:rsid w:val="00A14DE2"/>
    <w:rsid w:val="00A72387"/>
    <w:rsid w:val="00A736D9"/>
    <w:rsid w:val="00A863A2"/>
    <w:rsid w:val="00AA24DC"/>
    <w:rsid w:val="00AC69E3"/>
    <w:rsid w:val="00B14C89"/>
    <w:rsid w:val="00B33955"/>
    <w:rsid w:val="00BD1F01"/>
    <w:rsid w:val="00CB64D3"/>
    <w:rsid w:val="00D20830"/>
    <w:rsid w:val="00D20FCF"/>
    <w:rsid w:val="00D71C46"/>
    <w:rsid w:val="00D855DD"/>
    <w:rsid w:val="00D85F96"/>
    <w:rsid w:val="00DE067D"/>
    <w:rsid w:val="00DF053C"/>
    <w:rsid w:val="00DF24E7"/>
    <w:rsid w:val="00E1011A"/>
    <w:rsid w:val="00E70A55"/>
    <w:rsid w:val="00EB03FD"/>
    <w:rsid w:val="00EB47A6"/>
    <w:rsid w:val="00ED06B2"/>
    <w:rsid w:val="00EF65E3"/>
    <w:rsid w:val="00F161C4"/>
    <w:rsid w:val="00F35A70"/>
    <w:rsid w:val="00F4202D"/>
    <w:rsid w:val="00FB5E7E"/>
    <w:rsid w:val="00FC405A"/>
    <w:rsid w:val="00FC7877"/>
    <w:rsid w:val="010B405F"/>
    <w:rsid w:val="01522F33"/>
    <w:rsid w:val="015522D5"/>
    <w:rsid w:val="0166457E"/>
    <w:rsid w:val="01B018C4"/>
    <w:rsid w:val="01F11CD4"/>
    <w:rsid w:val="0255721E"/>
    <w:rsid w:val="025D7FF3"/>
    <w:rsid w:val="027520D7"/>
    <w:rsid w:val="02D84C98"/>
    <w:rsid w:val="02DA66D9"/>
    <w:rsid w:val="031F3DF1"/>
    <w:rsid w:val="036363D4"/>
    <w:rsid w:val="0384671D"/>
    <w:rsid w:val="041004C7"/>
    <w:rsid w:val="04765A2E"/>
    <w:rsid w:val="04B9600D"/>
    <w:rsid w:val="04C603A8"/>
    <w:rsid w:val="04E11CA6"/>
    <w:rsid w:val="05031C1C"/>
    <w:rsid w:val="05261D79"/>
    <w:rsid w:val="052A6DD2"/>
    <w:rsid w:val="058A7C48"/>
    <w:rsid w:val="05F5658A"/>
    <w:rsid w:val="06513492"/>
    <w:rsid w:val="069977D8"/>
    <w:rsid w:val="06B57DFC"/>
    <w:rsid w:val="07025814"/>
    <w:rsid w:val="071D3E77"/>
    <w:rsid w:val="0730481F"/>
    <w:rsid w:val="0790350F"/>
    <w:rsid w:val="07AD40C1"/>
    <w:rsid w:val="07B014DD"/>
    <w:rsid w:val="07B84B3A"/>
    <w:rsid w:val="080B6E7B"/>
    <w:rsid w:val="087C7C39"/>
    <w:rsid w:val="08FE016C"/>
    <w:rsid w:val="09300B06"/>
    <w:rsid w:val="0936645D"/>
    <w:rsid w:val="09572537"/>
    <w:rsid w:val="097035F9"/>
    <w:rsid w:val="098D417D"/>
    <w:rsid w:val="09FC4E8C"/>
    <w:rsid w:val="0A044DA3"/>
    <w:rsid w:val="0A195594"/>
    <w:rsid w:val="0A3269CB"/>
    <w:rsid w:val="0AFE3B88"/>
    <w:rsid w:val="0B48482D"/>
    <w:rsid w:val="0B946198"/>
    <w:rsid w:val="0BD90DA4"/>
    <w:rsid w:val="0BFA1390"/>
    <w:rsid w:val="0C1038AA"/>
    <w:rsid w:val="0C1D32AF"/>
    <w:rsid w:val="0C33272B"/>
    <w:rsid w:val="0C523489"/>
    <w:rsid w:val="0CAC4FB4"/>
    <w:rsid w:val="0CB437FC"/>
    <w:rsid w:val="0CCC472A"/>
    <w:rsid w:val="0CF55C46"/>
    <w:rsid w:val="0D1D75F3"/>
    <w:rsid w:val="0D3C666E"/>
    <w:rsid w:val="0DA11A57"/>
    <w:rsid w:val="0DE30198"/>
    <w:rsid w:val="0DE70FE6"/>
    <w:rsid w:val="0E3746E5"/>
    <w:rsid w:val="0E642E01"/>
    <w:rsid w:val="0F961D1A"/>
    <w:rsid w:val="0FB71F52"/>
    <w:rsid w:val="0FC86E19"/>
    <w:rsid w:val="105253FD"/>
    <w:rsid w:val="10E741A0"/>
    <w:rsid w:val="10F0290B"/>
    <w:rsid w:val="10F451BF"/>
    <w:rsid w:val="11052878"/>
    <w:rsid w:val="114F378A"/>
    <w:rsid w:val="1150463B"/>
    <w:rsid w:val="11D772FB"/>
    <w:rsid w:val="11E55436"/>
    <w:rsid w:val="125853BD"/>
    <w:rsid w:val="12B47E12"/>
    <w:rsid w:val="12D6271E"/>
    <w:rsid w:val="12F336D9"/>
    <w:rsid w:val="13966BB5"/>
    <w:rsid w:val="13D604FC"/>
    <w:rsid w:val="15763D45"/>
    <w:rsid w:val="15785BB6"/>
    <w:rsid w:val="15AE235B"/>
    <w:rsid w:val="16467BBB"/>
    <w:rsid w:val="16690AD8"/>
    <w:rsid w:val="168B1A72"/>
    <w:rsid w:val="17AE3C6A"/>
    <w:rsid w:val="17CF014A"/>
    <w:rsid w:val="180B3F4D"/>
    <w:rsid w:val="181D78FA"/>
    <w:rsid w:val="18915FD7"/>
    <w:rsid w:val="18B84674"/>
    <w:rsid w:val="18C930EF"/>
    <w:rsid w:val="18F70EA2"/>
    <w:rsid w:val="190212E1"/>
    <w:rsid w:val="192D38C8"/>
    <w:rsid w:val="193351D1"/>
    <w:rsid w:val="19341A2E"/>
    <w:rsid w:val="196D699A"/>
    <w:rsid w:val="19831126"/>
    <w:rsid w:val="19A36EAD"/>
    <w:rsid w:val="1A183487"/>
    <w:rsid w:val="1A387A77"/>
    <w:rsid w:val="1A8B0593"/>
    <w:rsid w:val="1ABC6DFD"/>
    <w:rsid w:val="1AF128F9"/>
    <w:rsid w:val="1BE032D6"/>
    <w:rsid w:val="1BE80837"/>
    <w:rsid w:val="1C544E56"/>
    <w:rsid w:val="1C8B0CB9"/>
    <w:rsid w:val="1CAA202B"/>
    <w:rsid w:val="1CB57518"/>
    <w:rsid w:val="1CEE0B2F"/>
    <w:rsid w:val="1D0E6F59"/>
    <w:rsid w:val="1E223E6B"/>
    <w:rsid w:val="1E3B2713"/>
    <w:rsid w:val="1E7A1200"/>
    <w:rsid w:val="1EF0001F"/>
    <w:rsid w:val="1EF6072C"/>
    <w:rsid w:val="1F0F26C5"/>
    <w:rsid w:val="1F4153EC"/>
    <w:rsid w:val="20104D96"/>
    <w:rsid w:val="20A57420"/>
    <w:rsid w:val="20AB7D17"/>
    <w:rsid w:val="20FA72D4"/>
    <w:rsid w:val="213E63B9"/>
    <w:rsid w:val="21823518"/>
    <w:rsid w:val="21A94054"/>
    <w:rsid w:val="21CA79F1"/>
    <w:rsid w:val="232E3EB1"/>
    <w:rsid w:val="23647F11"/>
    <w:rsid w:val="2381290B"/>
    <w:rsid w:val="23BA0077"/>
    <w:rsid w:val="24550140"/>
    <w:rsid w:val="248B40E3"/>
    <w:rsid w:val="251865DA"/>
    <w:rsid w:val="25B367A6"/>
    <w:rsid w:val="261C4DF6"/>
    <w:rsid w:val="26360CD5"/>
    <w:rsid w:val="26394025"/>
    <w:rsid w:val="264C1327"/>
    <w:rsid w:val="265E2CFF"/>
    <w:rsid w:val="26737D1F"/>
    <w:rsid w:val="26B741BD"/>
    <w:rsid w:val="270B77EA"/>
    <w:rsid w:val="27BF3329"/>
    <w:rsid w:val="27D112AE"/>
    <w:rsid w:val="28333130"/>
    <w:rsid w:val="288363F1"/>
    <w:rsid w:val="28DE70CF"/>
    <w:rsid w:val="290D492E"/>
    <w:rsid w:val="294A7316"/>
    <w:rsid w:val="294E2E79"/>
    <w:rsid w:val="294F7F37"/>
    <w:rsid w:val="2A083A69"/>
    <w:rsid w:val="2A171AE2"/>
    <w:rsid w:val="2A4C443E"/>
    <w:rsid w:val="2A8635DD"/>
    <w:rsid w:val="2A8704DB"/>
    <w:rsid w:val="2B007153"/>
    <w:rsid w:val="2B4E46A4"/>
    <w:rsid w:val="2B57010A"/>
    <w:rsid w:val="2C0E033F"/>
    <w:rsid w:val="2C13380B"/>
    <w:rsid w:val="2C5B7427"/>
    <w:rsid w:val="2CAB0320"/>
    <w:rsid w:val="2CB0263E"/>
    <w:rsid w:val="2D13578C"/>
    <w:rsid w:val="2D3C675D"/>
    <w:rsid w:val="2D960E01"/>
    <w:rsid w:val="2ECE4A89"/>
    <w:rsid w:val="2EEB3ECB"/>
    <w:rsid w:val="2F4B41D2"/>
    <w:rsid w:val="2F893638"/>
    <w:rsid w:val="2F9A5FCC"/>
    <w:rsid w:val="2FBC5F92"/>
    <w:rsid w:val="2FD55F51"/>
    <w:rsid w:val="2FDE0777"/>
    <w:rsid w:val="2FE104EC"/>
    <w:rsid w:val="30350655"/>
    <w:rsid w:val="306B50FC"/>
    <w:rsid w:val="30730E37"/>
    <w:rsid w:val="3083606D"/>
    <w:rsid w:val="309161AB"/>
    <w:rsid w:val="30A85ED8"/>
    <w:rsid w:val="30EB524A"/>
    <w:rsid w:val="30F11747"/>
    <w:rsid w:val="311D7B96"/>
    <w:rsid w:val="3122424F"/>
    <w:rsid w:val="3168581A"/>
    <w:rsid w:val="3223715A"/>
    <w:rsid w:val="32454D73"/>
    <w:rsid w:val="326B739A"/>
    <w:rsid w:val="32D3237F"/>
    <w:rsid w:val="331217FF"/>
    <w:rsid w:val="3338475E"/>
    <w:rsid w:val="33804D41"/>
    <w:rsid w:val="33EA5D0B"/>
    <w:rsid w:val="33F00D0E"/>
    <w:rsid w:val="341359E2"/>
    <w:rsid w:val="34214C71"/>
    <w:rsid w:val="348A2CD0"/>
    <w:rsid w:val="353D61D5"/>
    <w:rsid w:val="35762E24"/>
    <w:rsid w:val="35D51CC1"/>
    <w:rsid w:val="35FF414A"/>
    <w:rsid w:val="3698058A"/>
    <w:rsid w:val="369D19AA"/>
    <w:rsid w:val="371E7849"/>
    <w:rsid w:val="37206361"/>
    <w:rsid w:val="372D1FC1"/>
    <w:rsid w:val="37930D8D"/>
    <w:rsid w:val="37C73E07"/>
    <w:rsid w:val="37FD5054"/>
    <w:rsid w:val="38055F79"/>
    <w:rsid w:val="38BB18EB"/>
    <w:rsid w:val="38E452E6"/>
    <w:rsid w:val="394915ED"/>
    <w:rsid w:val="395635DF"/>
    <w:rsid w:val="39847CE6"/>
    <w:rsid w:val="39B01F36"/>
    <w:rsid w:val="3A0D48E4"/>
    <w:rsid w:val="3A634545"/>
    <w:rsid w:val="3A667F7C"/>
    <w:rsid w:val="3A673119"/>
    <w:rsid w:val="3A7379ED"/>
    <w:rsid w:val="3A845141"/>
    <w:rsid w:val="3A865F28"/>
    <w:rsid w:val="3AAF547F"/>
    <w:rsid w:val="3AEF7F72"/>
    <w:rsid w:val="3B5902C2"/>
    <w:rsid w:val="3B6D56B7"/>
    <w:rsid w:val="3B892174"/>
    <w:rsid w:val="3B90654D"/>
    <w:rsid w:val="3BA256E9"/>
    <w:rsid w:val="3BA35630"/>
    <w:rsid w:val="3BA7084C"/>
    <w:rsid w:val="3C033CD5"/>
    <w:rsid w:val="3CB52AF5"/>
    <w:rsid w:val="3CC82828"/>
    <w:rsid w:val="3CCB1C92"/>
    <w:rsid w:val="3CDD2778"/>
    <w:rsid w:val="3D2518C5"/>
    <w:rsid w:val="3D6048FD"/>
    <w:rsid w:val="3D864BBD"/>
    <w:rsid w:val="3DBE736E"/>
    <w:rsid w:val="3DC12D0A"/>
    <w:rsid w:val="3DCF7004"/>
    <w:rsid w:val="3DDB1411"/>
    <w:rsid w:val="3E753011"/>
    <w:rsid w:val="3EA90890"/>
    <w:rsid w:val="3F20042C"/>
    <w:rsid w:val="3F453C1E"/>
    <w:rsid w:val="3F4C7741"/>
    <w:rsid w:val="3F4F69F8"/>
    <w:rsid w:val="3F600A8B"/>
    <w:rsid w:val="3FA07A8C"/>
    <w:rsid w:val="3FED748A"/>
    <w:rsid w:val="40210715"/>
    <w:rsid w:val="40415288"/>
    <w:rsid w:val="408A5443"/>
    <w:rsid w:val="40BB1E2E"/>
    <w:rsid w:val="40E1256E"/>
    <w:rsid w:val="42376881"/>
    <w:rsid w:val="42750D5C"/>
    <w:rsid w:val="437C7482"/>
    <w:rsid w:val="43880F63"/>
    <w:rsid w:val="43CA157C"/>
    <w:rsid w:val="43E918E1"/>
    <w:rsid w:val="44155AE3"/>
    <w:rsid w:val="443D7F72"/>
    <w:rsid w:val="44764150"/>
    <w:rsid w:val="4492597B"/>
    <w:rsid w:val="461E33FF"/>
    <w:rsid w:val="4623731B"/>
    <w:rsid w:val="46335ED4"/>
    <w:rsid w:val="46D63D94"/>
    <w:rsid w:val="471F573B"/>
    <w:rsid w:val="479059EF"/>
    <w:rsid w:val="47EF3327"/>
    <w:rsid w:val="48223734"/>
    <w:rsid w:val="48594C7C"/>
    <w:rsid w:val="48C837CF"/>
    <w:rsid w:val="49344605"/>
    <w:rsid w:val="49990D4A"/>
    <w:rsid w:val="4A2B3D49"/>
    <w:rsid w:val="4A4702AB"/>
    <w:rsid w:val="4ACA56B2"/>
    <w:rsid w:val="4AEF57BE"/>
    <w:rsid w:val="4B111C8B"/>
    <w:rsid w:val="4B600CF3"/>
    <w:rsid w:val="4B944784"/>
    <w:rsid w:val="4BF316E3"/>
    <w:rsid w:val="4C67205E"/>
    <w:rsid w:val="4C83676C"/>
    <w:rsid w:val="4CA56E4F"/>
    <w:rsid w:val="4CF97C65"/>
    <w:rsid w:val="4D3E71B4"/>
    <w:rsid w:val="4DE10F49"/>
    <w:rsid w:val="4E2E5D79"/>
    <w:rsid w:val="4E6525CD"/>
    <w:rsid w:val="4E97524A"/>
    <w:rsid w:val="4F174207"/>
    <w:rsid w:val="4F2C6C47"/>
    <w:rsid w:val="4F4D5A86"/>
    <w:rsid w:val="4F626628"/>
    <w:rsid w:val="4FD33566"/>
    <w:rsid w:val="4FDF668F"/>
    <w:rsid w:val="4FE10CA2"/>
    <w:rsid w:val="50084A38"/>
    <w:rsid w:val="507A413A"/>
    <w:rsid w:val="507C074A"/>
    <w:rsid w:val="510838C4"/>
    <w:rsid w:val="511A45C5"/>
    <w:rsid w:val="514C537E"/>
    <w:rsid w:val="51810ACE"/>
    <w:rsid w:val="51A41A56"/>
    <w:rsid w:val="51E46C82"/>
    <w:rsid w:val="52DB4C0C"/>
    <w:rsid w:val="52E669FA"/>
    <w:rsid w:val="53222FD4"/>
    <w:rsid w:val="53452B9D"/>
    <w:rsid w:val="54161C73"/>
    <w:rsid w:val="543E054C"/>
    <w:rsid w:val="543E66F3"/>
    <w:rsid w:val="55805088"/>
    <w:rsid w:val="55B95D86"/>
    <w:rsid w:val="55D9206E"/>
    <w:rsid w:val="55EF5819"/>
    <w:rsid w:val="564E192B"/>
    <w:rsid w:val="566859AF"/>
    <w:rsid w:val="566B44F9"/>
    <w:rsid w:val="5697228A"/>
    <w:rsid w:val="56B70B57"/>
    <w:rsid w:val="56E535DA"/>
    <w:rsid w:val="57086048"/>
    <w:rsid w:val="572345A1"/>
    <w:rsid w:val="57E45BF4"/>
    <w:rsid w:val="58675193"/>
    <w:rsid w:val="58E81ECC"/>
    <w:rsid w:val="592C33B9"/>
    <w:rsid w:val="59536686"/>
    <w:rsid w:val="59747B49"/>
    <w:rsid w:val="59AD1935"/>
    <w:rsid w:val="5A601E9A"/>
    <w:rsid w:val="5AB1171C"/>
    <w:rsid w:val="5AC87D9B"/>
    <w:rsid w:val="5B115127"/>
    <w:rsid w:val="5B7019D4"/>
    <w:rsid w:val="5BED30BF"/>
    <w:rsid w:val="5BF5560E"/>
    <w:rsid w:val="5C07081F"/>
    <w:rsid w:val="5C4E1BEB"/>
    <w:rsid w:val="5C7D20F2"/>
    <w:rsid w:val="5CAA564F"/>
    <w:rsid w:val="5CE15514"/>
    <w:rsid w:val="5CEF64F6"/>
    <w:rsid w:val="5D505750"/>
    <w:rsid w:val="5D76237F"/>
    <w:rsid w:val="5DA71487"/>
    <w:rsid w:val="5DAF6297"/>
    <w:rsid w:val="5DD042A4"/>
    <w:rsid w:val="5DEF2CAC"/>
    <w:rsid w:val="5E441F20"/>
    <w:rsid w:val="5E702A95"/>
    <w:rsid w:val="5E927EE6"/>
    <w:rsid w:val="60076B58"/>
    <w:rsid w:val="606635B7"/>
    <w:rsid w:val="606E1CFF"/>
    <w:rsid w:val="60A8014F"/>
    <w:rsid w:val="613C5419"/>
    <w:rsid w:val="6148266D"/>
    <w:rsid w:val="62324A96"/>
    <w:rsid w:val="628C5A67"/>
    <w:rsid w:val="629D3C8C"/>
    <w:rsid w:val="632E6E5F"/>
    <w:rsid w:val="637847E3"/>
    <w:rsid w:val="63CC1360"/>
    <w:rsid w:val="64117A5B"/>
    <w:rsid w:val="64590086"/>
    <w:rsid w:val="646B7CF6"/>
    <w:rsid w:val="647B0128"/>
    <w:rsid w:val="64B34D12"/>
    <w:rsid w:val="653308D7"/>
    <w:rsid w:val="65CC62CA"/>
    <w:rsid w:val="6636339A"/>
    <w:rsid w:val="66BF00FF"/>
    <w:rsid w:val="670C27B5"/>
    <w:rsid w:val="67360FA6"/>
    <w:rsid w:val="67927308"/>
    <w:rsid w:val="67C22BC3"/>
    <w:rsid w:val="67CA414B"/>
    <w:rsid w:val="68256943"/>
    <w:rsid w:val="68774F7F"/>
    <w:rsid w:val="688D19A9"/>
    <w:rsid w:val="68C63B8D"/>
    <w:rsid w:val="69242AFE"/>
    <w:rsid w:val="6A095690"/>
    <w:rsid w:val="6A543314"/>
    <w:rsid w:val="6A7C484E"/>
    <w:rsid w:val="6AFF1E9B"/>
    <w:rsid w:val="6B5A4EA4"/>
    <w:rsid w:val="6B7617D7"/>
    <w:rsid w:val="6B7C455F"/>
    <w:rsid w:val="6B951B52"/>
    <w:rsid w:val="6BAC3191"/>
    <w:rsid w:val="6BBE13B4"/>
    <w:rsid w:val="6BD46244"/>
    <w:rsid w:val="6C141B76"/>
    <w:rsid w:val="6C294FF9"/>
    <w:rsid w:val="6C681E3D"/>
    <w:rsid w:val="6CA034B2"/>
    <w:rsid w:val="6CBE13CE"/>
    <w:rsid w:val="6CDD63AD"/>
    <w:rsid w:val="6CDF3526"/>
    <w:rsid w:val="6D386A1A"/>
    <w:rsid w:val="6D3F443D"/>
    <w:rsid w:val="6DAA462E"/>
    <w:rsid w:val="6DAB0280"/>
    <w:rsid w:val="6DE06F3E"/>
    <w:rsid w:val="6E0C07D1"/>
    <w:rsid w:val="6E0E0133"/>
    <w:rsid w:val="6E160D96"/>
    <w:rsid w:val="6E2711F5"/>
    <w:rsid w:val="6E3D1D31"/>
    <w:rsid w:val="6F0230C8"/>
    <w:rsid w:val="6F3430C2"/>
    <w:rsid w:val="6F7B75B8"/>
    <w:rsid w:val="6F847DBE"/>
    <w:rsid w:val="6FE57CB0"/>
    <w:rsid w:val="70876749"/>
    <w:rsid w:val="70DF2C02"/>
    <w:rsid w:val="71031848"/>
    <w:rsid w:val="71A022C9"/>
    <w:rsid w:val="71BE59CD"/>
    <w:rsid w:val="71DC5E53"/>
    <w:rsid w:val="71FB781B"/>
    <w:rsid w:val="722F34F0"/>
    <w:rsid w:val="72A921D9"/>
    <w:rsid w:val="730A32BE"/>
    <w:rsid w:val="73345D5F"/>
    <w:rsid w:val="734B0FCB"/>
    <w:rsid w:val="737C3589"/>
    <w:rsid w:val="737D6D55"/>
    <w:rsid w:val="73896DD6"/>
    <w:rsid w:val="73C202A1"/>
    <w:rsid w:val="740A44FF"/>
    <w:rsid w:val="742525FA"/>
    <w:rsid w:val="742662D7"/>
    <w:rsid w:val="74365A66"/>
    <w:rsid w:val="746E722A"/>
    <w:rsid w:val="74B60BDD"/>
    <w:rsid w:val="74DC6AB5"/>
    <w:rsid w:val="74FC7BDE"/>
    <w:rsid w:val="756B594D"/>
    <w:rsid w:val="75BE5F9B"/>
    <w:rsid w:val="75F02D47"/>
    <w:rsid w:val="76195DD6"/>
    <w:rsid w:val="768E4BCA"/>
    <w:rsid w:val="770110A1"/>
    <w:rsid w:val="78056103"/>
    <w:rsid w:val="78177082"/>
    <w:rsid w:val="7839178E"/>
    <w:rsid w:val="787352C6"/>
    <w:rsid w:val="78874D6A"/>
    <w:rsid w:val="78BA0F21"/>
    <w:rsid w:val="790B11E8"/>
    <w:rsid w:val="794F4242"/>
    <w:rsid w:val="79A100AE"/>
    <w:rsid w:val="79D7229C"/>
    <w:rsid w:val="7A3C0679"/>
    <w:rsid w:val="7A8821DD"/>
    <w:rsid w:val="7AD26045"/>
    <w:rsid w:val="7B7C4096"/>
    <w:rsid w:val="7CF10940"/>
    <w:rsid w:val="7D464386"/>
    <w:rsid w:val="7D627399"/>
    <w:rsid w:val="7D6C7745"/>
    <w:rsid w:val="7D9D2EC1"/>
    <w:rsid w:val="7DBE6769"/>
    <w:rsid w:val="7E9006F1"/>
    <w:rsid w:val="7EB0506A"/>
    <w:rsid w:val="7F1873C3"/>
    <w:rsid w:val="7F1F5B28"/>
    <w:rsid w:val="7F4514DB"/>
    <w:rsid w:val="7F674D76"/>
    <w:rsid w:val="7F900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100"/>
      <w:outlineLvl w:val="0"/>
    </w:pPr>
    <w:rPr>
      <w:rFonts w:ascii="宋体" w:hAnsi="宋体" w:eastAsia="宋体"/>
      <w:sz w:val="36"/>
      <w:szCs w:val="36"/>
    </w:rPr>
  </w:style>
  <w:style w:type="paragraph" w:styleId="3">
    <w:name w:val="heading 2"/>
    <w:basedOn w:val="1"/>
    <w:next w:val="1"/>
    <w:qFormat/>
    <w:uiPriority w:val="1"/>
    <w:pPr>
      <w:ind w:left="-21" w:firstLine="2592"/>
      <w:outlineLvl w:val="1"/>
    </w:pPr>
    <w:rPr>
      <w:rFonts w:ascii="宋体" w:hAnsi="宋体" w:eastAsia="宋体"/>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0"/>
    <w:semiHidden/>
    <w:unhideWhenUsed/>
    <w:qFormat/>
    <w:uiPriority w:val="99"/>
  </w:style>
  <w:style w:type="paragraph" w:styleId="5">
    <w:name w:val="Body Text"/>
    <w:basedOn w:val="1"/>
    <w:qFormat/>
    <w:uiPriority w:val="1"/>
    <w:pPr>
      <w:spacing w:before="207"/>
      <w:ind w:left="120"/>
    </w:pPr>
    <w:rPr>
      <w:rFonts w:ascii="宋体" w:hAnsi="宋体" w:eastAsia="宋体"/>
      <w:sz w:val="30"/>
      <w:szCs w:val="30"/>
    </w:rPr>
  </w:style>
  <w:style w:type="paragraph" w:styleId="6">
    <w:name w:val="Balloon Text"/>
    <w:basedOn w:val="1"/>
    <w:link w:val="22"/>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1"/>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table" w:customStyle="1" w:styleId="14">
    <w:name w:val="Table Normal"/>
    <w:semiHidden/>
    <w:unhideWhenUsed/>
    <w:qFormat/>
    <w:uiPriority w:val="2"/>
    <w:tblPr>
      <w:tblCellMar>
        <w:top w:w="0" w:type="dxa"/>
        <w:left w:w="0" w:type="dxa"/>
        <w:bottom w:w="0" w:type="dxa"/>
        <w:right w:w="0" w:type="dxa"/>
      </w:tblCellMar>
    </w:tblPr>
  </w:style>
  <w:style w:type="paragraph" w:styleId="15">
    <w:name w:val="List Paragraph"/>
    <w:basedOn w:val="1"/>
    <w:qFormat/>
    <w:uiPriority w:val="1"/>
  </w:style>
  <w:style w:type="paragraph" w:customStyle="1" w:styleId="16">
    <w:name w:val="Table Paragraph"/>
    <w:basedOn w:val="1"/>
    <w:qFormat/>
    <w:uiPriority w:val="1"/>
  </w:style>
  <w:style w:type="paragraph" w:customStyle="1" w:styleId="17">
    <w:name w:val="Default"/>
    <w:qFormat/>
    <w:uiPriority w:val="0"/>
    <w:pPr>
      <w:widowControl w:val="0"/>
      <w:autoSpaceDE w:val="0"/>
      <w:autoSpaceDN w:val="0"/>
      <w:adjustRightInd w:val="0"/>
    </w:pPr>
    <w:rPr>
      <w:rFonts w:ascii="方正黑体_GBK" w:hAnsi="方正黑体_GBK" w:cs="方正黑体_GBK" w:eastAsiaTheme="minorEastAsia"/>
      <w:color w:val="000000"/>
      <w:sz w:val="24"/>
      <w:szCs w:val="24"/>
      <w:lang w:val="en-US" w:eastAsia="en-US" w:bidi="ar-SA"/>
    </w:rPr>
  </w:style>
  <w:style w:type="character" w:customStyle="1" w:styleId="18">
    <w:name w:val="页眉 字符"/>
    <w:basedOn w:val="12"/>
    <w:link w:val="8"/>
    <w:qFormat/>
    <w:uiPriority w:val="99"/>
    <w:rPr>
      <w:sz w:val="18"/>
      <w:szCs w:val="18"/>
    </w:rPr>
  </w:style>
  <w:style w:type="character" w:customStyle="1" w:styleId="19">
    <w:name w:val="页脚 字符"/>
    <w:basedOn w:val="12"/>
    <w:link w:val="7"/>
    <w:qFormat/>
    <w:uiPriority w:val="99"/>
    <w:rPr>
      <w:sz w:val="18"/>
      <w:szCs w:val="18"/>
    </w:rPr>
  </w:style>
  <w:style w:type="character" w:customStyle="1" w:styleId="20">
    <w:name w:val="批注文字 字符"/>
    <w:basedOn w:val="12"/>
    <w:link w:val="4"/>
    <w:semiHidden/>
    <w:qFormat/>
    <w:uiPriority w:val="99"/>
    <w:rPr>
      <w:rFonts w:asciiTheme="minorHAnsi" w:hAnsiTheme="minorHAnsi" w:eastAsiaTheme="minorEastAsia" w:cstheme="minorBidi"/>
      <w:sz w:val="22"/>
      <w:szCs w:val="22"/>
      <w:lang w:eastAsia="en-US"/>
    </w:rPr>
  </w:style>
  <w:style w:type="character" w:customStyle="1" w:styleId="21">
    <w:name w:val="批注主题 字符"/>
    <w:basedOn w:val="20"/>
    <w:link w:val="9"/>
    <w:semiHidden/>
    <w:qFormat/>
    <w:uiPriority w:val="99"/>
    <w:rPr>
      <w:rFonts w:asciiTheme="minorHAnsi" w:hAnsiTheme="minorHAnsi" w:eastAsiaTheme="minorEastAsia" w:cstheme="minorBidi"/>
      <w:b/>
      <w:bCs/>
      <w:sz w:val="22"/>
      <w:szCs w:val="22"/>
      <w:lang w:eastAsia="en-US"/>
    </w:rPr>
  </w:style>
  <w:style w:type="character" w:customStyle="1" w:styleId="22">
    <w:name w:val="批注框文本 字符"/>
    <w:basedOn w:val="12"/>
    <w:link w:val="6"/>
    <w:semiHidden/>
    <w:qFormat/>
    <w:uiPriority w:val="99"/>
    <w:rPr>
      <w:rFonts w:asciiTheme="minorHAnsi" w:hAnsiTheme="minorHAnsi" w:eastAsiaTheme="minorEastAsia" w:cstheme="minorBidi"/>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4577</Words>
  <Characters>4745</Characters>
  <Lines>61</Lines>
  <Paragraphs>17</Paragraphs>
  <TotalTime>13</TotalTime>
  <ScaleCrop>false</ScaleCrop>
  <LinksUpToDate>false</LinksUpToDate>
  <CharactersWithSpaces>4786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2021-08-19T09:37:00Z</dcterms:created>
  <dc:creator>张肖军(拟稿)</dc:creator>
  <cp:lastModifiedBy>Amy</cp:lastModifiedBy>
  <cp:lastPrinted>2023-03-01T23:47:38Z</cp:lastPrinted>
  <dcterms:modified xsi:type="dcterms:W3CDTF">2023-03-01T23:58:52Z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Adobe Acrobat Pro 11.0.7</vt:lpwstr>
  </property>
  <property fmtid="{D5CDD505-2E9C-101B-9397-08002B2CF9AE}" pid="4" name="LastSaved">
    <vt:filetime>2021-08-19T00:00:00Z</vt:filetime>
  </property>
  <property fmtid="{D5CDD505-2E9C-101B-9397-08002B2CF9AE}" pid="5" name="KSOProductBuildVer">
    <vt:lpwstr>2052-11.1.0.13703</vt:lpwstr>
  </property>
  <property fmtid="{D5CDD505-2E9C-101B-9397-08002B2CF9AE}" pid="6" name="ICV">
    <vt:lpwstr>6110B7415DC740C58185CD86345CBEB1</vt:lpwstr>
  </property>
  <property fmtid="{D5CDD505-2E9C-101B-9397-08002B2CF9AE}" pid="7" name="commondata">
    <vt:lpwstr>eyJoZGlkIjoiMTIwOGJlM2MwYTQ1ZjViODE0ZDU4ODIwMzJjNGNiY2IifQ==</vt:lpwstr>
  </property>
</Properties>
</file>