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 w:line="574" w:lineRule="exact"/>
        <w:ind w:left="120"/>
        <w:rPr>
          <w:rFonts w:ascii="宋体" w:hAnsi="宋体" w:eastAsia="宋体" w:cs="宋体"/>
          <w:sz w:val="32"/>
          <w:szCs w:val="32"/>
          <w:lang w:eastAsia="zh-CN"/>
        </w:rPr>
      </w:pPr>
      <w:r>
        <w:rPr>
          <w:rFonts w:hint="eastAsia" w:ascii="宋体" w:hAnsi="宋体" w:eastAsia="宋体" w:cs="宋体"/>
          <w:sz w:val="32"/>
          <w:szCs w:val="32"/>
          <w:lang w:eastAsia="zh-CN"/>
        </w:rPr>
        <w:t>附件7</w:t>
      </w:r>
    </w:p>
    <w:p>
      <w:pPr>
        <w:spacing w:before="2" w:line="574" w:lineRule="exact"/>
        <w:rPr>
          <w:rFonts w:ascii="宋体" w:hAnsi="宋体" w:eastAsia="宋体" w:cs="宋体"/>
          <w:sz w:val="27"/>
          <w:szCs w:val="27"/>
          <w:lang w:eastAsia="zh-CN"/>
        </w:rPr>
      </w:pPr>
    </w:p>
    <w:p>
      <w:pPr>
        <w:spacing w:line="574" w:lineRule="exact"/>
        <w:jc w:val="center"/>
        <w:rPr>
          <w:rFonts w:ascii="宋体" w:hAnsi="宋体" w:eastAsia="宋体" w:cs="宋体"/>
          <w:sz w:val="44"/>
          <w:szCs w:val="44"/>
          <w:lang w:eastAsia="zh-CN"/>
        </w:rPr>
      </w:pPr>
      <w:r>
        <w:rPr>
          <w:rFonts w:hint="eastAsia" w:ascii="宋体" w:hAnsi="宋体" w:eastAsia="宋体" w:cs="宋体"/>
          <w:sz w:val="44"/>
          <w:szCs w:val="44"/>
          <w:lang w:eastAsia="zh-CN"/>
        </w:rPr>
        <w:t>江苏省政府专项债券项目绩效自评价报告</w:t>
      </w:r>
    </w:p>
    <w:p>
      <w:pPr>
        <w:spacing w:line="574" w:lineRule="exact"/>
        <w:jc w:val="center"/>
        <w:rPr>
          <w:rFonts w:ascii="宋体" w:hAnsi="宋体" w:eastAsia="宋体" w:cs="宋体"/>
          <w:sz w:val="30"/>
          <w:szCs w:val="30"/>
          <w:lang w:eastAsia="zh-CN"/>
        </w:rPr>
      </w:pPr>
    </w:p>
    <w:p>
      <w:pPr>
        <w:spacing w:line="574" w:lineRule="exact"/>
        <w:ind w:firstLine="602" w:firstLineChars="200"/>
        <w:jc w:val="both"/>
        <w:rPr>
          <w:rFonts w:ascii="宋体" w:hAnsi="宋体" w:eastAsia="宋体" w:cs="宋体"/>
          <w:b/>
          <w:bCs/>
          <w:sz w:val="30"/>
          <w:szCs w:val="30"/>
          <w:lang w:eastAsia="zh-CN"/>
        </w:rPr>
      </w:pPr>
      <w:r>
        <w:rPr>
          <w:rFonts w:hint="eastAsia" w:ascii="宋体" w:hAnsi="宋体" w:eastAsia="宋体" w:cs="宋体"/>
          <w:b/>
          <w:bCs/>
          <w:sz w:val="30"/>
          <w:szCs w:val="30"/>
          <w:lang w:eastAsia="zh-CN"/>
        </w:rPr>
        <w:t>一、项目情况</w:t>
      </w:r>
    </w:p>
    <w:p>
      <w:pPr>
        <w:spacing w:line="574" w:lineRule="exact"/>
        <w:ind w:firstLine="584" w:firstLineChars="200"/>
        <w:jc w:val="both"/>
        <w:rPr>
          <w:rFonts w:ascii="宋体" w:hAnsi="宋体" w:eastAsia="宋体" w:cs="宋体"/>
          <w:spacing w:val="-4"/>
          <w:sz w:val="30"/>
          <w:szCs w:val="30"/>
          <w:lang w:eastAsia="zh-CN"/>
        </w:rPr>
      </w:pPr>
      <w:r>
        <w:rPr>
          <w:rFonts w:hint="eastAsia" w:ascii="宋体" w:hAnsi="宋体" w:eastAsia="宋体" w:cs="宋体"/>
          <w:spacing w:val="-4"/>
          <w:sz w:val="30"/>
          <w:szCs w:val="30"/>
          <w:lang w:eastAsia="zh-CN"/>
        </w:rPr>
        <w:t>（一）项目概况</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为了进一步完善职业教育设施，提高职业教育水平，实施江苏省溧阳中等专业学校改扩建工程。项目建设单位为溧阳市惠江南置业有限公司。</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根据溧阳市发展和改革委员会《关于江苏省溧阳中等专业学校改扩建工程项目可行性研究报告的批复》（溧发改〔2023〕18号文），本项目建设地址位于溧阳市，东至育才路，南至燕鸣北路，西至燕山南路，北至104国道。项目新建地上建筑面积约109000平方米，地下建筑面积约11200平方米，对现有建筑改造面积141500平方米。主要建设内容包括新建食堂、工培中心、体育馆、游泳馆等；对学生公寓、教学楼、实验教学中心改造；同步实施智能化、弱电及配套工程。</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本项目估算总投资84000万元，建设单位自筹资金16800万元，申请地方政府专项债券资金67200万元，2023年发行债券10000万元。</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绩效目标</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1、项目绩效总体目标</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正确处理资源保护与开发的关系，加强生态环境保护和建设，坚持走可持续发展道路；并与城市建设、道路交通、环境保护等专项规划相衔接。</w:t>
      </w:r>
    </w:p>
    <w:p>
      <w:pPr>
        <w:numPr>
          <w:ilvl w:val="0"/>
          <w:numId w:val="2"/>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项目绩效阶段性目标</w:t>
      </w:r>
    </w:p>
    <w:p>
      <w:pPr>
        <w:numPr>
          <w:ilvl w:val="0"/>
          <w:numId w:val="0"/>
        </w:numPr>
        <w:spacing w:line="574" w:lineRule="exact"/>
        <w:ind w:left="598" w:leftChars="272" w:firstLine="0" w:firstLineChars="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目标1：完成设计方案报批。</w:t>
      </w:r>
    </w:p>
    <w:p>
      <w:pPr>
        <w:numPr>
          <w:ilvl w:val="0"/>
          <w:numId w:val="0"/>
        </w:numPr>
        <w:spacing w:line="574" w:lineRule="exact"/>
        <w:ind w:left="598" w:leftChars="272" w:firstLine="0" w:firstLineChars="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目标2：完成施工图审查。</w:t>
      </w:r>
    </w:p>
    <w:p>
      <w:pPr>
        <w:numPr>
          <w:ilvl w:val="0"/>
          <w:numId w:val="0"/>
        </w:numPr>
        <w:spacing w:line="574" w:lineRule="exact"/>
        <w:ind w:left="598" w:leftChars="272" w:firstLine="0" w:firstLineChars="0"/>
        <w:jc w:val="both"/>
        <w:rPr>
          <w:rFonts w:ascii="宋体" w:hAnsi="宋体" w:eastAsia="宋体" w:cs="宋体"/>
          <w:sz w:val="30"/>
          <w:szCs w:val="30"/>
          <w:lang w:eastAsia="zh-CN"/>
        </w:rPr>
      </w:pPr>
      <w:r>
        <w:rPr>
          <w:rFonts w:hint="eastAsia" w:ascii="宋体" w:hAnsi="宋体" w:eastAsia="宋体" w:cs="宋体"/>
          <w:sz w:val="30"/>
          <w:szCs w:val="30"/>
          <w:lang w:eastAsia="zh-CN"/>
        </w:rPr>
        <w:t>目标3：开工建设。</w:t>
      </w:r>
    </w:p>
    <w:p>
      <w:pPr>
        <w:spacing w:line="574" w:lineRule="exact"/>
        <w:ind w:firstLine="602" w:firstLineChars="200"/>
        <w:jc w:val="both"/>
        <w:rPr>
          <w:rFonts w:ascii="宋体" w:hAnsi="宋体" w:eastAsia="宋体" w:cs="宋体"/>
          <w:b/>
          <w:bCs/>
          <w:sz w:val="30"/>
          <w:szCs w:val="30"/>
          <w:lang w:eastAsia="zh-CN"/>
        </w:rPr>
      </w:pPr>
      <w:r>
        <w:rPr>
          <w:rFonts w:hint="eastAsia" w:ascii="宋体" w:hAnsi="宋体" w:eastAsia="宋体" w:cs="宋体"/>
          <w:b/>
          <w:bCs/>
          <w:sz w:val="30"/>
          <w:szCs w:val="30"/>
          <w:lang w:eastAsia="zh-CN"/>
        </w:rPr>
        <w:t>二、评价情况</w:t>
      </w:r>
    </w:p>
    <w:p>
      <w:pPr>
        <w:spacing w:line="574" w:lineRule="exact"/>
        <w:ind w:firstLine="584" w:firstLineChars="2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（一）项目特点分析。</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1、本项目勘察、设计、施工、监理以及重要设备、材料采购的招标方式需按照《中华人民共和国招标投标法》和《必须招标的工程项目规定》（国家发展改革委第 16 号令）的相关规定执行。项目建设资金按照规定用途使用，与中标后签订的合同相符。</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2、本项目需</w:t>
      </w:r>
      <w:r>
        <w:rPr>
          <w:rFonts w:ascii="宋体" w:hAnsi="宋体" w:eastAsia="宋体" w:cs="宋体"/>
          <w:sz w:val="30"/>
          <w:szCs w:val="30"/>
          <w:lang w:eastAsia="zh-CN"/>
        </w:rPr>
        <w:t>通过在线平台如实报送政府投资项目前期、开工建设、建设进度、竣工等基本信息。加强项目档案管理，将项目审批和实施过程中的有关文件、资料存档备查。</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3、本项目需按照批复的建设规模、建设内容等进行建设。如果已批准建设规模、建设内容需要作较大调整的，按规定办理变更手续。</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4、项目将严格遵循“估算控制概算、概算控制预算、预算控制决算”的原则。投资概算原则上不得超过经批准的可行性研究报告提出的投资估算的10%。</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根据《财政部关于印发&lt;地方政府专项债券项目资金绩效管理办法》的通知&gt;》(财预(2021)61 号文)，并结合上述项目特点，本次绩效评价主要反映项目过程、产出、</w:t>
      </w:r>
      <w:r>
        <w:rPr>
          <w:rFonts w:hint="eastAsia" w:ascii="宋体" w:hAnsi="宋体" w:eastAsia="宋体" w:cs="宋体"/>
          <w:sz w:val="30"/>
          <w:szCs w:val="30"/>
          <w:lang w:val="en-US" w:eastAsia="zh-CN"/>
        </w:rPr>
        <w:t>效益</w:t>
      </w:r>
      <w:r>
        <w:rPr>
          <w:rFonts w:hint="eastAsia" w:ascii="宋体" w:hAnsi="宋体" w:eastAsia="宋体" w:cs="宋体"/>
          <w:sz w:val="30"/>
          <w:szCs w:val="30"/>
          <w:lang w:eastAsia="zh-CN"/>
        </w:rPr>
        <w:t>和满意度情况，包括以下内容：</w:t>
      </w:r>
    </w:p>
    <w:p>
      <w:pPr>
        <w:numPr>
          <w:ilvl w:val="0"/>
          <w:numId w:val="3"/>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过程</w:t>
      </w:r>
      <w:r>
        <w:rPr>
          <w:rFonts w:ascii="宋体" w:hAnsi="宋体" w:eastAsia="宋体" w:cs="宋体"/>
          <w:sz w:val="30"/>
          <w:szCs w:val="30"/>
          <w:lang w:eastAsia="zh-CN"/>
        </w:rPr>
        <w:t>方面</w:t>
      </w:r>
    </w:p>
    <w:p>
      <w:pPr>
        <w:spacing w:line="574" w:lineRule="exact"/>
        <w:ind w:firstLine="600" w:firstLineChars="200"/>
        <w:jc w:val="both"/>
        <w:rPr>
          <w:rFonts w:ascii="宋体" w:hAnsi="宋体" w:eastAsia="宋体" w:cs="宋体"/>
          <w:sz w:val="30"/>
          <w:szCs w:val="30"/>
          <w:lang w:eastAsia="zh-CN"/>
        </w:rPr>
      </w:pPr>
      <w:r>
        <w:rPr>
          <w:rFonts w:ascii="宋体" w:hAnsi="宋体" w:eastAsia="宋体" w:cs="宋体"/>
          <w:sz w:val="30"/>
          <w:szCs w:val="30"/>
          <w:lang w:eastAsia="zh-CN"/>
        </w:rPr>
        <w:t>项目符合专项债券支持领域和方向情况</w:t>
      </w:r>
      <w:r>
        <w:rPr>
          <w:rFonts w:hint="eastAsia" w:ascii="宋体" w:hAnsi="宋体" w:eastAsia="宋体" w:cs="宋体"/>
          <w:sz w:val="30"/>
          <w:szCs w:val="30"/>
          <w:lang w:eastAsia="zh-CN"/>
        </w:rPr>
        <w:t>；</w:t>
      </w:r>
      <w:r>
        <w:rPr>
          <w:rFonts w:ascii="宋体" w:hAnsi="宋体" w:eastAsia="宋体" w:cs="宋体"/>
          <w:sz w:val="30"/>
          <w:szCs w:val="30"/>
          <w:lang w:eastAsia="zh-CN"/>
        </w:rPr>
        <w:t>项目绩效目标设定情况</w:t>
      </w:r>
      <w:r>
        <w:rPr>
          <w:rFonts w:hint="eastAsia" w:ascii="宋体" w:hAnsi="宋体" w:eastAsia="宋体" w:cs="宋体"/>
          <w:sz w:val="30"/>
          <w:szCs w:val="30"/>
          <w:lang w:eastAsia="zh-CN"/>
        </w:rPr>
        <w:t>；</w:t>
      </w:r>
      <w:r>
        <w:rPr>
          <w:rFonts w:ascii="宋体" w:hAnsi="宋体" w:eastAsia="宋体" w:cs="宋体"/>
          <w:sz w:val="30"/>
          <w:szCs w:val="30"/>
          <w:lang w:eastAsia="zh-CN"/>
        </w:rPr>
        <w:t>项目申请专项债券额度与实际需要匹配情况等。</w:t>
      </w:r>
    </w:p>
    <w:p>
      <w:pPr>
        <w:numPr>
          <w:ilvl w:val="0"/>
          <w:numId w:val="3"/>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产出</w:t>
      </w:r>
      <w:r>
        <w:rPr>
          <w:rFonts w:ascii="宋体" w:hAnsi="宋体" w:eastAsia="宋体" w:cs="宋体"/>
          <w:sz w:val="30"/>
          <w:szCs w:val="30"/>
          <w:lang w:eastAsia="zh-CN"/>
        </w:rPr>
        <w:t>方面</w:t>
      </w:r>
    </w:p>
    <w:p>
      <w:pPr>
        <w:spacing w:line="574" w:lineRule="exact"/>
        <w:ind w:firstLine="600" w:firstLineChars="200"/>
        <w:jc w:val="both"/>
        <w:rPr>
          <w:rFonts w:hint="eastAsia" w:ascii="宋体" w:hAnsi="宋体" w:eastAsia="宋体" w:cs="宋体"/>
          <w:sz w:val="30"/>
          <w:szCs w:val="30"/>
          <w:lang w:eastAsia="zh-CN"/>
        </w:rPr>
      </w:pPr>
      <w:r>
        <w:rPr>
          <w:rFonts w:ascii="宋体" w:hAnsi="宋体" w:eastAsia="宋体" w:cs="宋体"/>
          <w:sz w:val="30"/>
          <w:szCs w:val="30"/>
          <w:lang w:eastAsia="zh-CN"/>
        </w:rPr>
        <w:t>债券资金按规定用途使用情况</w:t>
      </w:r>
      <w:r>
        <w:rPr>
          <w:rFonts w:hint="eastAsia" w:ascii="宋体" w:hAnsi="宋体" w:eastAsia="宋体" w:cs="宋体"/>
          <w:sz w:val="30"/>
          <w:szCs w:val="30"/>
          <w:lang w:eastAsia="zh-CN"/>
        </w:rPr>
        <w:t>；</w:t>
      </w:r>
      <w:r>
        <w:rPr>
          <w:rFonts w:ascii="宋体" w:hAnsi="宋体" w:eastAsia="宋体" w:cs="宋体"/>
          <w:sz w:val="30"/>
          <w:szCs w:val="30"/>
          <w:lang w:eastAsia="zh-CN"/>
        </w:rPr>
        <w:t>资金拨付和支出进度与项目建设进度匹配情况</w:t>
      </w:r>
      <w:r>
        <w:rPr>
          <w:rFonts w:hint="eastAsia" w:ascii="宋体" w:hAnsi="宋体" w:eastAsia="宋体" w:cs="宋体"/>
          <w:sz w:val="30"/>
          <w:szCs w:val="30"/>
          <w:lang w:eastAsia="zh-CN"/>
        </w:rPr>
        <w:t>；</w:t>
      </w:r>
      <w:r>
        <w:rPr>
          <w:rFonts w:ascii="宋体" w:hAnsi="宋体" w:eastAsia="宋体" w:cs="宋体"/>
          <w:sz w:val="30"/>
          <w:szCs w:val="30"/>
          <w:lang w:eastAsia="zh-CN"/>
        </w:rPr>
        <w:t>专项债券项目信息公开情况</w:t>
      </w:r>
      <w:r>
        <w:rPr>
          <w:rFonts w:hint="eastAsia" w:ascii="宋体" w:hAnsi="宋体" w:eastAsia="宋体" w:cs="宋体"/>
          <w:sz w:val="30"/>
          <w:szCs w:val="30"/>
          <w:lang w:eastAsia="zh-CN"/>
        </w:rPr>
        <w:t>；</w:t>
      </w:r>
      <w:r>
        <w:rPr>
          <w:rFonts w:ascii="宋体" w:hAnsi="宋体" w:eastAsia="宋体" w:cs="宋体"/>
          <w:sz w:val="30"/>
          <w:szCs w:val="30"/>
          <w:lang w:eastAsia="zh-CN"/>
        </w:rPr>
        <w:t>外部监督发现问题整改情况</w:t>
      </w:r>
      <w:r>
        <w:rPr>
          <w:rFonts w:hint="eastAsia" w:ascii="宋体" w:hAnsi="宋体" w:eastAsia="宋体" w:cs="宋体"/>
          <w:sz w:val="30"/>
          <w:szCs w:val="30"/>
          <w:lang w:eastAsia="zh-CN"/>
        </w:rPr>
        <w:t>；</w:t>
      </w:r>
      <w:r>
        <w:rPr>
          <w:rFonts w:ascii="宋体" w:hAnsi="宋体" w:eastAsia="宋体" w:cs="宋体"/>
          <w:sz w:val="30"/>
          <w:szCs w:val="30"/>
          <w:lang w:eastAsia="zh-CN"/>
        </w:rPr>
        <w:t>信息系统管理使用情况</w:t>
      </w:r>
      <w:r>
        <w:rPr>
          <w:rFonts w:hint="eastAsia" w:ascii="宋体" w:hAnsi="宋体" w:eastAsia="宋体" w:cs="宋体"/>
          <w:sz w:val="30"/>
          <w:szCs w:val="30"/>
          <w:lang w:eastAsia="zh-CN"/>
        </w:rPr>
        <w:t>等；</w:t>
      </w:r>
      <w:r>
        <w:rPr>
          <w:rFonts w:ascii="宋体" w:hAnsi="宋体" w:eastAsia="宋体" w:cs="宋体"/>
          <w:sz w:val="30"/>
          <w:szCs w:val="30"/>
          <w:lang w:eastAsia="zh-CN"/>
        </w:rPr>
        <w:t>项目建设质量达标情况</w:t>
      </w:r>
      <w:r>
        <w:rPr>
          <w:rFonts w:hint="eastAsia" w:ascii="宋体" w:hAnsi="宋体" w:eastAsia="宋体" w:cs="宋体"/>
          <w:sz w:val="30"/>
          <w:szCs w:val="30"/>
          <w:lang w:eastAsia="zh-CN"/>
        </w:rPr>
        <w:t>；</w:t>
      </w:r>
      <w:r>
        <w:rPr>
          <w:rFonts w:ascii="宋体" w:hAnsi="宋体" w:eastAsia="宋体" w:cs="宋体"/>
          <w:sz w:val="30"/>
          <w:szCs w:val="30"/>
          <w:lang w:eastAsia="zh-CN"/>
        </w:rPr>
        <w:t>项目建设进度情况</w:t>
      </w:r>
      <w:r>
        <w:rPr>
          <w:rFonts w:hint="eastAsia" w:ascii="宋体" w:hAnsi="宋体" w:eastAsia="宋体" w:cs="宋体"/>
          <w:sz w:val="30"/>
          <w:szCs w:val="30"/>
          <w:lang w:eastAsia="zh-CN"/>
        </w:rPr>
        <w:t>；</w:t>
      </w:r>
      <w:r>
        <w:rPr>
          <w:rFonts w:ascii="宋体" w:hAnsi="宋体" w:eastAsia="宋体" w:cs="宋体"/>
          <w:sz w:val="30"/>
          <w:szCs w:val="30"/>
          <w:lang w:eastAsia="zh-CN"/>
        </w:rPr>
        <w:t>项目建设成本情况</w:t>
      </w:r>
      <w:r>
        <w:rPr>
          <w:rFonts w:hint="eastAsia" w:ascii="宋体" w:hAnsi="宋体" w:eastAsia="宋体" w:cs="宋体"/>
          <w:sz w:val="30"/>
          <w:szCs w:val="30"/>
          <w:lang w:eastAsia="zh-CN"/>
        </w:rPr>
        <w:t>等。</w:t>
      </w:r>
    </w:p>
    <w:p>
      <w:pPr>
        <w:numPr>
          <w:ilvl w:val="0"/>
          <w:numId w:val="3"/>
        </w:numPr>
        <w:spacing w:line="574" w:lineRule="exact"/>
        <w:ind w:left="0" w:leftChars="0" w:firstLine="600" w:firstLineChars="200"/>
        <w:jc w:val="both"/>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项目效益</w:t>
      </w:r>
    </w:p>
    <w:p>
      <w:pPr>
        <w:numPr>
          <w:ilvl w:val="0"/>
          <w:numId w:val="0"/>
        </w:numPr>
        <w:spacing w:line="574" w:lineRule="exact"/>
        <w:ind w:leftChars="200"/>
        <w:jc w:val="both"/>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 xml:space="preserve"> 项目</w:t>
      </w:r>
      <w:r>
        <w:rPr>
          <w:rFonts w:hint="eastAsia" w:ascii="宋体" w:hAnsi="宋体" w:eastAsia="宋体" w:cs="宋体"/>
          <w:sz w:val="30"/>
          <w:szCs w:val="30"/>
          <w:highlight w:val="none"/>
          <w:lang w:val="en-US" w:eastAsia="zh-CN"/>
        </w:rPr>
        <w:t>经济效益、</w:t>
      </w:r>
      <w:r>
        <w:rPr>
          <w:rFonts w:hint="eastAsia" w:ascii="宋体" w:hAnsi="宋体" w:eastAsia="宋体" w:cs="宋体"/>
          <w:sz w:val="30"/>
          <w:szCs w:val="30"/>
          <w:highlight w:val="none"/>
          <w:lang w:eastAsia="zh-CN"/>
        </w:rPr>
        <w:t>社会效益、</w:t>
      </w:r>
      <w:r>
        <w:rPr>
          <w:rFonts w:hint="eastAsia" w:ascii="宋体" w:hAnsi="宋体" w:eastAsia="宋体" w:cs="宋体"/>
          <w:sz w:val="30"/>
          <w:szCs w:val="30"/>
          <w:highlight w:val="none"/>
          <w:lang w:val="en-US" w:eastAsia="zh-CN"/>
        </w:rPr>
        <w:t>生态效益等。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val="en-US" w:eastAsia="zh-CN"/>
        </w:rPr>
        <w:t>4</w:t>
      </w:r>
      <w:r>
        <w:rPr>
          <w:rFonts w:hint="eastAsia" w:ascii="宋体" w:hAnsi="宋体" w:eastAsia="宋体" w:cs="宋体"/>
          <w:sz w:val="30"/>
          <w:szCs w:val="30"/>
          <w:lang w:eastAsia="zh-CN"/>
        </w:rPr>
        <w:t>、满意度方面</w:t>
      </w:r>
    </w:p>
    <w:p>
      <w:pPr>
        <w:spacing w:line="574" w:lineRule="exact"/>
        <w:ind w:firstLine="600" w:firstLineChars="200"/>
        <w:jc w:val="both"/>
        <w:rPr>
          <w:rFonts w:ascii="宋体" w:hAnsi="宋体" w:eastAsia="宋体" w:cs="宋体"/>
          <w:sz w:val="30"/>
          <w:szCs w:val="30"/>
          <w:lang w:eastAsia="zh-CN"/>
        </w:rPr>
      </w:pPr>
      <w:r>
        <w:rPr>
          <w:rFonts w:ascii="宋体" w:hAnsi="宋体" w:eastAsia="宋体" w:cs="宋体"/>
          <w:sz w:val="30"/>
          <w:szCs w:val="30"/>
          <w:lang w:eastAsia="zh-CN"/>
        </w:rPr>
        <w:t>项目满意程度等。</w:t>
      </w:r>
    </w:p>
    <w:p>
      <w:pPr>
        <w:spacing w:line="574" w:lineRule="exact"/>
        <w:ind w:firstLine="584" w:firstLineChars="2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（二）评价思路方法</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根据《财政部关于印发&lt;地方政府专项债券项目资金绩效管理办法》的通知&gt;》(财预(2021)61 号文)、《项目支出绩效评价管理办法》（财预（2020）10号文），</w:t>
      </w:r>
      <w:r>
        <w:rPr>
          <w:rFonts w:hint="eastAsia" w:ascii="宋体" w:hAnsi="宋体" w:eastAsia="宋体" w:cs="宋体"/>
          <w:spacing w:val="-4"/>
          <w:sz w:val="30"/>
          <w:szCs w:val="30"/>
          <w:lang w:eastAsia="zh-CN"/>
        </w:rPr>
        <w:t>确定专项债券项目绩效自评</w:t>
      </w:r>
      <w:r>
        <w:rPr>
          <w:rFonts w:hint="eastAsia" w:ascii="宋体" w:hAnsi="宋体" w:eastAsia="宋体" w:cs="宋体"/>
          <w:sz w:val="30"/>
          <w:szCs w:val="30"/>
          <w:lang w:eastAsia="zh-CN"/>
        </w:rPr>
        <w:t>价的原则、方法、标准等。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1、绩效评价原则</w:t>
      </w:r>
    </w:p>
    <w:p>
      <w:p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应当遵循以下基本原则：（1）科学公正。绩效评价应当运用科学合理的方法，按照规范的程序，对项目绩效进行客观、公正的反映。（2）统筹兼顾。单位自评由项目单位自主实施，即“谁支出、谁自评”。（3）激励约束。绩效评价结果应与预算安排、政策调整、改进管理实质性挂钩，体现奖优罚劣和激励相容导向，有效要安排、低效要压减、无效要问责。（4）公开透明。绩效评价结果应依法依规公开，并自觉接受社会监督。</w:t>
      </w:r>
    </w:p>
    <w:p>
      <w:pPr>
        <w:spacing w:line="574" w:lineRule="exact"/>
        <w:ind w:left="440" w:leftChars="200" w:firstLine="300" w:firstLineChars="100"/>
        <w:jc w:val="both"/>
        <w:rPr>
          <w:rFonts w:ascii="宋体" w:hAnsi="宋体" w:eastAsia="宋体" w:cs="宋体"/>
          <w:sz w:val="30"/>
          <w:szCs w:val="30"/>
          <w:lang w:eastAsia="zh-CN"/>
        </w:rPr>
      </w:pPr>
      <w:r>
        <w:rPr>
          <w:rFonts w:hint="eastAsia" w:ascii="宋体" w:hAnsi="宋体" w:eastAsia="宋体" w:cs="宋体"/>
          <w:sz w:val="30"/>
          <w:szCs w:val="30"/>
          <w:lang w:eastAsia="zh-CN"/>
        </w:rPr>
        <w:t>2、</w:t>
      </w:r>
      <w:r>
        <w:rPr>
          <w:rFonts w:ascii="宋体" w:hAnsi="宋体" w:eastAsia="宋体" w:cs="宋体"/>
          <w:sz w:val="30"/>
          <w:szCs w:val="30"/>
          <w:lang w:eastAsia="zh-CN"/>
        </w:rPr>
        <w:t>绩效评价标准</w:t>
      </w:r>
    </w:p>
    <w:p>
      <w:pPr>
        <w:spacing w:line="574" w:lineRule="exact"/>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    绩效评价标准通常包括计划标准、行业标准等，用于对绩效指标完成情况进行比较。（1）计划标准。指以预先制定的目标、计划、预算、定额等作为评价标准。（2）行业标准。指参照国家公布的行业指标数据制定的评价标准。</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3、绩效评价方法</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采用定量与定性评价相结合的比较法，总分由各项指标得分汇总形成。</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定量指标得分按照以下方法评定：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定性指标得分按照以下方法评定：根据指标完成情况分为达成年度指标、部分达成年度指标并具有一定效果、未达成年度指标且效果较差三档，合理确定分值。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根据财预（2021）61号文，</w:t>
      </w:r>
      <w:r>
        <w:rPr>
          <w:rFonts w:ascii="宋体" w:hAnsi="宋体" w:eastAsia="宋体" w:cs="宋体"/>
          <w:sz w:val="30"/>
          <w:szCs w:val="30"/>
          <w:lang w:eastAsia="zh-CN"/>
        </w:rPr>
        <w:t>绩效评价</w:t>
      </w:r>
      <w:r>
        <w:rPr>
          <w:rFonts w:hint="eastAsia" w:ascii="宋体" w:hAnsi="宋体" w:eastAsia="宋体" w:cs="宋体"/>
          <w:sz w:val="30"/>
          <w:szCs w:val="30"/>
          <w:lang w:eastAsia="zh-CN"/>
        </w:rPr>
        <w:t>最终</w:t>
      </w:r>
      <w:r>
        <w:rPr>
          <w:rFonts w:ascii="宋体" w:hAnsi="宋体" w:eastAsia="宋体" w:cs="宋体"/>
          <w:sz w:val="30"/>
          <w:szCs w:val="30"/>
          <w:lang w:eastAsia="zh-CN"/>
        </w:rPr>
        <w:t>结果按照综合评分进行分级</w:t>
      </w:r>
      <w:r>
        <w:rPr>
          <w:rFonts w:hint="eastAsia" w:ascii="宋体" w:hAnsi="宋体" w:eastAsia="宋体" w:cs="宋体"/>
          <w:sz w:val="30"/>
          <w:szCs w:val="30"/>
          <w:lang w:eastAsia="zh-CN"/>
        </w:rPr>
        <w:t>。</w:t>
      </w:r>
      <w:r>
        <w:rPr>
          <w:rFonts w:ascii="宋体" w:hAnsi="宋体" w:eastAsia="宋体" w:cs="宋体"/>
          <w:sz w:val="30"/>
          <w:szCs w:val="30"/>
          <w:lang w:eastAsia="zh-CN"/>
        </w:rPr>
        <w:t>综合评分为90分(含)以上的为</w:t>
      </w:r>
      <w:r>
        <w:rPr>
          <w:rFonts w:hint="eastAsia" w:ascii="宋体" w:hAnsi="宋体" w:eastAsia="宋体" w:cs="宋体"/>
          <w:sz w:val="30"/>
          <w:szCs w:val="30"/>
          <w:lang w:eastAsia="zh-CN"/>
        </w:rPr>
        <w:t>“</w:t>
      </w:r>
      <w:r>
        <w:rPr>
          <w:rFonts w:ascii="宋体" w:hAnsi="宋体" w:eastAsia="宋体" w:cs="宋体"/>
          <w:sz w:val="30"/>
          <w:szCs w:val="30"/>
          <w:lang w:eastAsia="zh-CN"/>
        </w:rPr>
        <w:t>优</w:t>
      </w:r>
      <w:r>
        <w:rPr>
          <w:rFonts w:hint="eastAsia" w:ascii="宋体" w:hAnsi="宋体" w:eastAsia="宋体" w:cs="宋体"/>
          <w:sz w:val="30"/>
          <w:szCs w:val="30"/>
          <w:lang w:eastAsia="zh-CN"/>
        </w:rPr>
        <w:t>”</w:t>
      </w:r>
      <w:r>
        <w:rPr>
          <w:rFonts w:ascii="宋体" w:hAnsi="宋体" w:eastAsia="宋体" w:cs="宋体"/>
          <w:sz w:val="30"/>
          <w:szCs w:val="30"/>
          <w:lang w:eastAsia="zh-CN"/>
        </w:rPr>
        <w:t>,80分(含)至90分的为</w:t>
      </w:r>
      <w:r>
        <w:rPr>
          <w:rFonts w:hint="eastAsia" w:ascii="宋体" w:hAnsi="宋体" w:eastAsia="宋体" w:cs="宋体"/>
          <w:sz w:val="30"/>
          <w:szCs w:val="30"/>
          <w:lang w:eastAsia="zh-CN"/>
        </w:rPr>
        <w:t>“</w:t>
      </w:r>
      <w:r>
        <w:rPr>
          <w:rFonts w:ascii="宋体" w:hAnsi="宋体" w:eastAsia="宋体" w:cs="宋体"/>
          <w:sz w:val="30"/>
          <w:szCs w:val="30"/>
          <w:lang w:eastAsia="zh-CN"/>
        </w:rPr>
        <w:t>良</w:t>
      </w:r>
      <w:r>
        <w:rPr>
          <w:rFonts w:hint="eastAsia" w:ascii="宋体" w:hAnsi="宋体" w:eastAsia="宋体" w:cs="宋体"/>
          <w:sz w:val="30"/>
          <w:szCs w:val="30"/>
          <w:lang w:eastAsia="zh-CN"/>
        </w:rPr>
        <w:t>”</w:t>
      </w:r>
      <w:r>
        <w:rPr>
          <w:rFonts w:ascii="宋体" w:hAnsi="宋体" w:eastAsia="宋体" w:cs="宋体"/>
          <w:sz w:val="30"/>
          <w:szCs w:val="30"/>
          <w:lang w:eastAsia="zh-CN"/>
        </w:rPr>
        <w:t>,60分(含)至80分的为</w:t>
      </w:r>
      <w:r>
        <w:rPr>
          <w:rFonts w:hint="eastAsia" w:ascii="宋体" w:hAnsi="宋体" w:eastAsia="宋体" w:cs="宋体"/>
          <w:sz w:val="30"/>
          <w:szCs w:val="30"/>
          <w:lang w:eastAsia="zh-CN"/>
        </w:rPr>
        <w:t>“</w:t>
      </w:r>
      <w:r>
        <w:rPr>
          <w:rFonts w:ascii="宋体" w:hAnsi="宋体" w:eastAsia="宋体" w:cs="宋体"/>
          <w:sz w:val="30"/>
          <w:szCs w:val="30"/>
          <w:lang w:eastAsia="zh-CN"/>
        </w:rPr>
        <w:t>中</w:t>
      </w:r>
      <w:r>
        <w:rPr>
          <w:rFonts w:hint="eastAsia" w:ascii="宋体" w:hAnsi="宋体" w:eastAsia="宋体" w:cs="宋体"/>
          <w:sz w:val="30"/>
          <w:szCs w:val="30"/>
          <w:lang w:eastAsia="zh-CN"/>
        </w:rPr>
        <w:t>”，</w:t>
      </w:r>
      <w:r>
        <w:rPr>
          <w:rFonts w:ascii="宋体" w:hAnsi="宋体" w:eastAsia="宋体" w:cs="宋体"/>
          <w:sz w:val="30"/>
          <w:szCs w:val="30"/>
          <w:lang w:eastAsia="zh-CN"/>
        </w:rPr>
        <w:t>60分以下的为</w:t>
      </w:r>
      <w:r>
        <w:rPr>
          <w:rFonts w:hint="eastAsia" w:ascii="宋体" w:hAnsi="宋体" w:eastAsia="宋体" w:cs="宋体"/>
          <w:sz w:val="30"/>
          <w:szCs w:val="30"/>
          <w:lang w:eastAsia="zh-CN"/>
        </w:rPr>
        <w:t>“</w:t>
      </w:r>
      <w:r>
        <w:rPr>
          <w:rFonts w:ascii="宋体" w:hAnsi="宋体" w:eastAsia="宋体" w:cs="宋体"/>
          <w:sz w:val="30"/>
          <w:szCs w:val="30"/>
          <w:lang w:eastAsia="zh-CN"/>
        </w:rPr>
        <w:t>差</w:t>
      </w:r>
      <w:r>
        <w:rPr>
          <w:rFonts w:hint="eastAsia" w:ascii="宋体" w:hAnsi="宋体" w:eastAsia="宋体" w:cs="宋体"/>
          <w:sz w:val="30"/>
          <w:szCs w:val="30"/>
          <w:lang w:eastAsia="zh-CN"/>
        </w:rPr>
        <w:t xml:space="preserve">”。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4、本项目绩效评价指标权重</w:t>
      </w:r>
    </w:p>
    <w:p>
      <w:pPr>
        <w:spacing w:line="574" w:lineRule="exact"/>
        <w:ind w:firstLine="600" w:firstLineChars="20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根据《项目支出绩效评价管理办法》（财预（2020）10号文），自评指标的权重根据项目实际情况确定。</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据此，结合本项目进度，绩效评价指标体系从项目过程、项目产出、</w:t>
      </w:r>
      <w:r>
        <w:rPr>
          <w:rFonts w:hint="eastAsia" w:ascii="宋体" w:hAnsi="宋体" w:eastAsia="宋体" w:cs="宋体"/>
          <w:sz w:val="30"/>
          <w:szCs w:val="30"/>
          <w:lang w:val="en-US" w:eastAsia="zh-CN"/>
        </w:rPr>
        <w:t>项目效益、</w:t>
      </w:r>
      <w:r>
        <w:rPr>
          <w:rFonts w:hint="eastAsia" w:ascii="宋体" w:hAnsi="宋体" w:eastAsia="宋体" w:cs="宋体"/>
          <w:sz w:val="30"/>
          <w:szCs w:val="30"/>
          <w:lang w:eastAsia="zh-CN"/>
        </w:rPr>
        <w:t>项目满意度</w:t>
      </w:r>
      <w:r>
        <w:rPr>
          <w:rFonts w:hint="eastAsia" w:ascii="宋体" w:hAnsi="宋体" w:eastAsia="宋体" w:cs="宋体"/>
          <w:sz w:val="30"/>
          <w:szCs w:val="30"/>
          <w:lang w:val="en-US" w:eastAsia="zh-CN"/>
        </w:rPr>
        <w:t>四</w:t>
      </w:r>
      <w:r>
        <w:rPr>
          <w:rFonts w:hint="eastAsia" w:ascii="宋体" w:hAnsi="宋体" w:eastAsia="宋体" w:cs="宋体"/>
          <w:sz w:val="30"/>
          <w:szCs w:val="30"/>
          <w:lang w:eastAsia="zh-CN"/>
        </w:rPr>
        <w:t>个方面进行构建。具体如下：</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（1）项目过程：由资金管理指标、组织实施指标构成。</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（2）项目产出：由数量指标、质量指标、时效指标、成本指标构成。</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3</w:t>
      </w: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项目效益：</w:t>
      </w:r>
      <w:r>
        <w:rPr>
          <w:rFonts w:hint="eastAsia" w:ascii="宋体" w:hAnsi="宋体" w:eastAsia="宋体" w:cs="宋体"/>
          <w:sz w:val="30"/>
          <w:szCs w:val="30"/>
          <w:highlight w:val="none"/>
          <w:lang w:eastAsia="zh-CN"/>
        </w:rPr>
        <w:t>由</w:t>
      </w:r>
      <w:r>
        <w:rPr>
          <w:rFonts w:hint="eastAsia" w:ascii="宋体" w:hAnsi="宋体" w:eastAsia="宋体" w:cs="宋体"/>
          <w:sz w:val="30"/>
          <w:szCs w:val="30"/>
          <w:highlight w:val="none"/>
          <w:lang w:val="en-US" w:eastAsia="zh-CN"/>
        </w:rPr>
        <w:t>经济效益、</w:t>
      </w:r>
      <w:r>
        <w:rPr>
          <w:rFonts w:hint="eastAsia" w:ascii="宋体" w:hAnsi="宋体" w:eastAsia="宋体" w:cs="宋体"/>
          <w:sz w:val="30"/>
          <w:szCs w:val="30"/>
          <w:highlight w:val="none"/>
          <w:lang w:eastAsia="zh-CN"/>
        </w:rPr>
        <w:t>社会效益、</w:t>
      </w:r>
      <w:r>
        <w:rPr>
          <w:rFonts w:hint="eastAsia" w:ascii="宋体" w:hAnsi="宋体" w:eastAsia="宋体" w:cs="宋体"/>
          <w:sz w:val="30"/>
          <w:szCs w:val="30"/>
          <w:highlight w:val="none"/>
          <w:lang w:val="en-US" w:eastAsia="zh-CN"/>
        </w:rPr>
        <w:t>生态效益</w:t>
      </w:r>
      <w:r>
        <w:rPr>
          <w:rFonts w:hint="eastAsia" w:ascii="宋体" w:hAnsi="宋体" w:eastAsia="宋体" w:cs="宋体"/>
          <w:sz w:val="30"/>
          <w:szCs w:val="30"/>
          <w:highlight w:val="none"/>
          <w:lang w:eastAsia="zh-CN"/>
        </w:rPr>
        <w:t>指标构成。</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4</w:t>
      </w:r>
      <w:r>
        <w:rPr>
          <w:rFonts w:hint="eastAsia" w:ascii="宋体" w:hAnsi="宋体" w:eastAsia="宋体" w:cs="宋体"/>
          <w:sz w:val="30"/>
          <w:szCs w:val="30"/>
          <w:highlight w:val="none"/>
          <w:lang w:eastAsia="zh-CN"/>
        </w:rPr>
        <w:t>）项目满意度：由</w:t>
      </w:r>
      <w:r>
        <w:rPr>
          <w:rFonts w:hint="eastAsia" w:ascii="宋体" w:hAnsi="宋体" w:eastAsia="宋体" w:cs="宋体"/>
          <w:sz w:val="30"/>
          <w:szCs w:val="30"/>
          <w:highlight w:val="none"/>
          <w:lang w:val="en-US" w:eastAsia="zh-CN"/>
        </w:rPr>
        <w:t>周边居民满意度</w:t>
      </w:r>
      <w:r>
        <w:rPr>
          <w:rFonts w:hint="eastAsia" w:ascii="宋体" w:hAnsi="宋体" w:eastAsia="宋体" w:cs="宋体"/>
          <w:sz w:val="30"/>
          <w:szCs w:val="30"/>
          <w:highlight w:val="none"/>
          <w:lang w:eastAsia="zh-CN"/>
        </w:rPr>
        <w:t>指标构成。</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评价工作情况。主要为项目情况核查和分析等方</w:t>
      </w:r>
      <w:r>
        <w:rPr>
          <w:rFonts w:hint="eastAsia" w:ascii="宋体" w:hAnsi="宋体" w:eastAsia="宋体" w:cs="宋体"/>
          <w:sz w:val="30"/>
          <w:szCs w:val="30"/>
          <w:lang w:eastAsia="zh-CN"/>
        </w:rPr>
        <w:t xml:space="preserve">面的情况。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1、前期准备阶段</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根据绩效评价工作要求，结合实施绩效评价项目的特点，绩效评价组通过向项目组收集相关资料，并对项目深入研究、反复研讨，针对项目的特性设计相关表格，进行统计、分析、核实，作为项目评价信息。</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2、实地考察</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为保证本次绩效评价结果的客观、公正、科学，本次绩效评价主要采用实地考察办法。评价小组进行实地考察、访问听取项目情况介绍，考察、了解项目开展、项目执行、项目管控、财务管理等情况，以获取绩效评价所需的基础资料。</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3、绩效分析阶段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绩效评价工作组通过收集资料、对照查证复核、数据分析等 工作程序，采用定性指标与定量指标结合、点面结合的方法，确保评价工作客观、公正。对自评表数据与佐证材料的相关数据进行了核实,对明显不合理的目标值,根据项目实际情况进行调整。进行绩效指标量化打分，经过汇总修正，得出最后评价结果。</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4、沟通反馈、报告撰写</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经过与现场项目组反复沟通、交换意见，评价组内部讨论和修改，完成自评价报告的撰写工作。</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绩效评价结论。绩效评价的评分及等级等。</w:t>
      </w:r>
    </w:p>
    <w:p>
      <w:pPr>
        <w:numPr>
          <w:ilvl w:val="0"/>
          <w:numId w:val="0"/>
        </w:numPr>
        <w:adjustRightInd w:val="0"/>
        <w:snapToGrid w:val="0"/>
        <w:spacing w:line="574" w:lineRule="exact"/>
        <w:ind w:firstLine="600" w:firstLineChars="200"/>
        <w:jc w:val="both"/>
        <w:rPr>
          <w:rFonts w:ascii="宋体" w:hAnsi="宋体" w:eastAsia="宋体" w:cs="宋体"/>
          <w:spacing w:val="-15"/>
          <w:sz w:val="30"/>
          <w:szCs w:val="30"/>
          <w:lang w:eastAsia="zh-CN"/>
        </w:rPr>
      </w:pPr>
      <w:r>
        <w:rPr>
          <w:rFonts w:hint="eastAsia" w:ascii="宋体" w:hAnsi="宋体" w:eastAsia="宋体" w:cs="宋体"/>
          <w:sz w:val="30"/>
          <w:szCs w:val="30"/>
          <w:lang w:eastAsia="zh-CN"/>
        </w:rPr>
        <w:t>1、</w:t>
      </w:r>
      <w:r>
        <w:rPr>
          <w:rFonts w:hint="eastAsia" w:ascii="宋体" w:hAnsi="宋体" w:eastAsia="宋体" w:cs="宋体"/>
          <w:spacing w:val="-15"/>
          <w:sz w:val="30"/>
          <w:szCs w:val="30"/>
          <w:lang w:eastAsia="zh-CN"/>
        </w:rPr>
        <w:t>项目过程</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项目过程指标分为资金管理、组织实施。资金管理从资金到位率、</w:t>
      </w:r>
      <w:r>
        <w:rPr>
          <w:rFonts w:hint="eastAsia" w:ascii="宋体" w:hAnsi="宋体" w:eastAsia="宋体" w:cs="宋体"/>
          <w:spacing w:val="-15"/>
          <w:sz w:val="30"/>
          <w:szCs w:val="30"/>
          <w:lang w:val="en-US" w:eastAsia="zh-CN"/>
        </w:rPr>
        <w:t>预算</w:t>
      </w:r>
      <w:r>
        <w:rPr>
          <w:rFonts w:hint="eastAsia" w:ascii="宋体" w:hAnsi="宋体" w:eastAsia="宋体" w:cs="宋体"/>
          <w:spacing w:val="-15"/>
          <w:sz w:val="30"/>
          <w:szCs w:val="30"/>
          <w:lang w:eastAsia="zh-CN"/>
        </w:rPr>
        <w:t>执行率、资金使用合规性</w:t>
      </w:r>
      <w:r>
        <w:rPr>
          <w:rFonts w:hint="eastAsia" w:ascii="宋体" w:hAnsi="宋体" w:eastAsia="宋体" w:cs="宋体"/>
          <w:spacing w:val="-15"/>
          <w:sz w:val="30"/>
          <w:szCs w:val="30"/>
          <w:lang w:val="en-US" w:eastAsia="zh-CN"/>
        </w:rPr>
        <w:t>三</w:t>
      </w:r>
      <w:r>
        <w:rPr>
          <w:rFonts w:hint="eastAsia" w:ascii="宋体" w:hAnsi="宋体" w:eastAsia="宋体" w:cs="宋体"/>
          <w:spacing w:val="-15"/>
          <w:sz w:val="30"/>
          <w:szCs w:val="30"/>
          <w:lang w:eastAsia="zh-CN"/>
        </w:rPr>
        <w:t>个方面评价资金收支和管理情况。组织实施从管理制度健全性、制度执行有效性两个方面评价工程管理制度及项目实施规范情况。</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）资金到位率</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项目于202</w:t>
      </w: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年申请地方政府专项债券资金</w:t>
      </w:r>
      <w:r>
        <w:rPr>
          <w:rFonts w:hint="eastAsia" w:ascii="宋体" w:hAnsi="宋体" w:eastAsia="宋体" w:cs="宋体"/>
          <w:spacing w:val="-15"/>
          <w:sz w:val="30"/>
          <w:szCs w:val="30"/>
          <w:lang w:val="en-US" w:eastAsia="zh-CN"/>
        </w:rPr>
        <w:t>1亿</w:t>
      </w:r>
      <w:r>
        <w:rPr>
          <w:rFonts w:hint="eastAsia" w:ascii="宋体" w:hAnsi="宋体" w:eastAsia="宋体" w:cs="宋体"/>
          <w:spacing w:val="-15"/>
          <w:sz w:val="30"/>
          <w:szCs w:val="30"/>
          <w:lang w:eastAsia="zh-CN"/>
        </w:rPr>
        <w:t>元，截止202</w:t>
      </w: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年12月资金实际到位</w:t>
      </w:r>
      <w:r>
        <w:rPr>
          <w:rFonts w:hint="eastAsia" w:ascii="宋体" w:hAnsi="宋体" w:eastAsia="宋体" w:cs="宋体"/>
          <w:spacing w:val="-15"/>
          <w:sz w:val="30"/>
          <w:szCs w:val="30"/>
          <w:lang w:val="en-US" w:eastAsia="zh-CN"/>
        </w:rPr>
        <w:t>1亿</w:t>
      </w:r>
      <w:r>
        <w:rPr>
          <w:rFonts w:hint="eastAsia" w:ascii="宋体" w:hAnsi="宋体" w:eastAsia="宋体" w:cs="宋体"/>
          <w:spacing w:val="-15"/>
          <w:sz w:val="30"/>
          <w:szCs w:val="30"/>
          <w:lang w:eastAsia="zh-CN"/>
        </w:rPr>
        <w:t>元，资金到位率</w:t>
      </w:r>
      <w:r>
        <w:rPr>
          <w:rFonts w:hint="eastAsia" w:ascii="宋体" w:hAnsi="宋体" w:eastAsia="宋体" w:cs="宋体"/>
          <w:spacing w:val="-15"/>
          <w:sz w:val="30"/>
          <w:szCs w:val="30"/>
          <w:lang w:val="en-US" w:eastAsia="zh-CN"/>
        </w:rPr>
        <w:t>100</w:t>
      </w:r>
      <w:r>
        <w:rPr>
          <w:rFonts w:hint="eastAsia" w:ascii="宋体" w:hAnsi="宋体" w:eastAsia="宋体" w:cs="宋体"/>
          <w:spacing w:val="-15"/>
          <w:sz w:val="30"/>
          <w:szCs w:val="30"/>
          <w:lang w:eastAsia="zh-CN"/>
        </w:rPr>
        <w:t>%。</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预算</w:t>
      </w:r>
      <w:r>
        <w:rPr>
          <w:rFonts w:hint="eastAsia" w:ascii="宋体" w:hAnsi="宋体" w:eastAsia="宋体" w:cs="宋体"/>
          <w:spacing w:val="-15"/>
          <w:sz w:val="30"/>
          <w:szCs w:val="30"/>
          <w:lang w:eastAsia="zh-CN"/>
        </w:rPr>
        <w:t>执行率</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专项债券资金支出</w:t>
      </w:r>
      <w:r>
        <w:rPr>
          <w:rFonts w:hint="eastAsia" w:ascii="宋体" w:hAnsi="宋体" w:eastAsia="宋体" w:cs="宋体"/>
          <w:spacing w:val="-15"/>
          <w:sz w:val="30"/>
          <w:szCs w:val="30"/>
          <w:lang w:val="en-US" w:eastAsia="zh-CN"/>
        </w:rPr>
        <w:t>0.52亿</w:t>
      </w:r>
      <w:r>
        <w:rPr>
          <w:rFonts w:hint="eastAsia" w:ascii="宋体" w:hAnsi="宋体" w:eastAsia="宋体" w:cs="宋体"/>
          <w:spacing w:val="-15"/>
          <w:sz w:val="30"/>
          <w:szCs w:val="30"/>
          <w:lang w:eastAsia="zh-CN"/>
        </w:rPr>
        <w:t>元，</w:t>
      </w:r>
      <w:r>
        <w:rPr>
          <w:rFonts w:hint="eastAsia" w:ascii="宋体" w:hAnsi="宋体" w:eastAsia="宋体" w:cs="宋体"/>
          <w:spacing w:val="-15"/>
          <w:sz w:val="30"/>
          <w:szCs w:val="30"/>
          <w:lang w:val="en-US" w:eastAsia="zh-CN"/>
        </w:rPr>
        <w:t>预算执行率为52%</w:t>
      </w:r>
      <w:r>
        <w:rPr>
          <w:rFonts w:hint="eastAsia" w:ascii="宋体" w:hAnsi="宋体" w:eastAsia="宋体" w:cs="宋体"/>
          <w:spacing w:val="-15"/>
          <w:sz w:val="30"/>
          <w:szCs w:val="30"/>
          <w:lang w:eastAsia="zh-CN"/>
        </w:rPr>
        <w:t>。</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资金使用合规性</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项目的资金使用符合国家财经法规和财务管理制度，不存在截留、挤占、挪用、虚列支出等情况。  </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（4）</w:t>
      </w:r>
      <w:r>
        <w:rPr>
          <w:rFonts w:hint="eastAsia" w:ascii="宋体" w:hAnsi="宋体" w:eastAsia="宋体" w:cs="宋体"/>
          <w:spacing w:val="-15"/>
          <w:sz w:val="30"/>
          <w:szCs w:val="30"/>
          <w:lang w:eastAsia="zh-CN"/>
        </w:rPr>
        <w:t>管理制度健全性</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作为项目执行单位，具体负责项目实施过程中的建设管理，包括指定专人负责建设项目前期审批手续的办理；进行施工等单位的招投标遴选；组织施工单位按进度进行施工，并对工程建设质量、进度、安全、成本进行跟踪监督。</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（5）</w:t>
      </w:r>
      <w:r>
        <w:rPr>
          <w:rFonts w:hint="eastAsia" w:ascii="宋体" w:hAnsi="宋体" w:eastAsia="宋体" w:cs="宋体"/>
          <w:spacing w:val="-15"/>
          <w:sz w:val="30"/>
          <w:szCs w:val="30"/>
          <w:lang w:eastAsia="zh-CN"/>
        </w:rPr>
        <w:t>制度执行有效性</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开工前按照规定办理施工许可等手续。严格执行工程发包承包法规制度，依法开展招标活动，依法与参建单位订立书面合同，明确双方权利和义务。</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建设</w:t>
      </w:r>
      <w:r>
        <w:rPr>
          <w:rFonts w:hint="eastAsia" w:ascii="宋体" w:hAnsi="宋体" w:eastAsia="宋体" w:cs="宋体"/>
          <w:spacing w:val="-15"/>
          <w:sz w:val="30"/>
          <w:szCs w:val="30"/>
          <w:highlight w:val="none"/>
          <w:lang w:val="en-US" w:eastAsia="zh-CN"/>
        </w:rPr>
        <w:t>单位</w:t>
      </w:r>
      <w:r>
        <w:rPr>
          <w:rFonts w:hint="eastAsia" w:ascii="宋体" w:hAnsi="宋体" w:eastAsia="宋体" w:cs="宋体"/>
          <w:spacing w:val="-15"/>
          <w:sz w:val="30"/>
          <w:szCs w:val="30"/>
          <w:highlight w:val="none"/>
          <w:lang w:eastAsia="zh-CN"/>
        </w:rPr>
        <w:t>组织设计单位、施工单位、监理单位，召开技术图纸交底会议。会议</w:t>
      </w:r>
      <w:r>
        <w:rPr>
          <w:rFonts w:hint="eastAsia" w:ascii="宋体" w:hAnsi="宋体" w:eastAsia="宋体" w:cs="宋体"/>
          <w:spacing w:val="-15"/>
          <w:sz w:val="30"/>
          <w:szCs w:val="30"/>
          <w:highlight w:val="none"/>
          <w:lang w:val="en-US" w:eastAsia="zh-CN"/>
        </w:rPr>
        <w:t>由</w:t>
      </w:r>
      <w:r>
        <w:rPr>
          <w:rFonts w:hint="eastAsia" w:ascii="宋体" w:hAnsi="宋体" w:eastAsia="宋体" w:cs="宋体"/>
          <w:spacing w:val="-15"/>
          <w:sz w:val="30"/>
          <w:szCs w:val="30"/>
          <w:highlight w:val="none"/>
          <w:lang w:eastAsia="zh-CN"/>
        </w:rPr>
        <w:t>项目建设单位分管负责人主持，并对项目的安全施工、技术质量、施工进度等作了相关要求和</w:t>
      </w:r>
      <w:r>
        <w:rPr>
          <w:rFonts w:hint="eastAsia" w:ascii="宋体" w:hAnsi="宋体" w:eastAsia="宋体" w:cs="宋体"/>
          <w:spacing w:val="-15"/>
          <w:sz w:val="30"/>
          <w:szCs w:val="30"/>
          <w:highlight w:val="none"/>
          <w:lang w:val="en-US" w:eastAsia="zh-CN"/>
        </w:rPr>
        <w:t>部署</w:t>
      </w:r>
      <w:r>
        <w:rPr>
          <w:rFonts w:hint="eastAsia" w:ascii="宋体" w:hAnsi="宋体" w:eastAsia="宋体" w:cs="宋体"/>
          <w:spacing w:val="-15"/>
          <w:sz w:val="30"/>
          <w:szCs w:val="30"/>
          <w:highlight w:val="none"/>
          <w:lang w:eastAsia="zh-CN"/>
        </w:rPr>
        <w:t>。</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项目产出</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）数量指标</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完成设计方案报批1项。</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完成施工图设计1项。</w:t>
      </w:r>
    </w:p>
    <w:p>
      <w:pPr>
        <w:numPr>
          <w:ilvl w:val="0"/>
          <w:numId w:val="0"/>
        </w:numPr>
        <w:adjustRightInd w:val="0"/>
        <w:snapToGrid w:val="0"/>
        <w:spacing w:line="574" w:lineRule="exact"/>
        <w:ind w:left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）质量指标</w:t>
      </w:r>
    </w:p>
    <w:p>
      <w:pPr>
        <w:numPr>
          <w:ilvl w:val="0"/>
          <w:numId w:val="0"/>
        </w:num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方案设计满足报规要求，取得溧阳市资源局出具的建设工程规划许可证。施工图设计满足相关要求，取得常州建设工程设计审图中心出具的审查合格证书。施工单位需严格按照设计图纸及规范要求施工，不得随意改变设计，如确需要进行变更，必须按照要求办理变更手续后再施工。</w:t>
      </w:r>
    </w:p>
    <w:p>
      <w:pPr>
        <w:adjustRightInd w:val="0"/>
        <w:snapToGrid w:val="0"/>
        <w:spacing w:line="574" w:lineRule="exact"/>
        <w:ind w:firstLine="540" w:firstLineChars="200"/>
        <w:jc w:val="both"/>
        <w:rPr>
          <w:rFonts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3</w:t>
      </w:r>
      <w:r>
        <w:rPr>
          <w:rFonts w:hint="eastAsia" w:ascii="宋体" w:hAnsi="宋体" w:eastAsia="宋体" w:cs="宋体"/>
          <w:spacing w:val="-15"/>
          <w:sz w:val="30"/>
          <w:szCs w:val="30"/>
          <w:highlight w:val="none"/>
          <w:lang w:eastAsia="zh-CN"/>
        </w:rPr>
        <w:t>）时效指标</w:t>
      </w:r>
    </w:p>
    <w:p>
      <w:p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图纸交付及时，</w:t>
      </w:r>
      <w:r>
        <w:rPr>
          <w:rFonts w:hint="eastAsia" w:ascii="宋体" w:hAnsi="宋体" w:eastAsia="宋体" w:cs="宋体"/>
          <w:spacing w:val="-15"/>
          <w:sz w:val="30"/>
          <w:szCs w:val="30"/>
          <w:highlight w:val="none"/>
          <w:lang w:val="en-US" w:eastAsia="zh-CN"/>
        </w:rPr>
        <w:t>取得施工许可证。</w:t>
      </w:r>
    </w:p>
    <w:p>
      <w:pPr>
        <w:adjustRightInd w:val="0"/>
        <w:snapToGrid w:val="0"/>
        <w:spacing w:line="574" w:lineRule="exact"/>
        <w:ind w:firstLine="540" w:firstLineChars="200"/>
        <w:jc w:val="both"/>
        <w:rPr>
          <w:rFonts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4</w:t>
      </w:r>
      <w:r>
        <w:rPr>
          <w:rFonts w:hint="eastAsia" w:ascii="宋体" w:hAnsi="宋体" w:eastAsia="宋体" w:cs="宋体"/>
          <w:spacing w:val="-15"/>
          <w:sz w:val="30"/>
          <w:szCs w:val="30"/>
          <w:highlight w:val="none"/>
          <w:lang w:eastAsia="zh-CN"/>
        </w:rPr>
        <w:t>）成本指标</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年度计划成本偏离率</w:t>
      </w:r>
      <w:r>
        <w:rPr>
          <w:rFonts w:hint="eastAsia" w:ascii="宋体" w:hAnsi="宋体" w:eastAsia="宋体" w:cs="宋体"/>
          <w:spacing w:val="-15"/>
          <w:sz w:val="30"/>
          <w:szCs w:val="30"/>
          <w:lang w:val="en-US" w:eastAsia="zh-CN"/>
        </w:rPr>
        <w:t>0%。</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三</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效益</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经济效益</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经批准的可研投资估算作为成本控制的依据，</w:t>
      </w:r>
      <w:r>
        <w:rPr>
          <w:rFonts w:hint="eastAsia" w:ascii="宋体" w:hAnsi="宋体" w:eastAsia="宋体" w:cs="宋体"/>
          <w:spacing w:val="-15"/>
          <w:sz w:val="30"/>
          <w:szCs w:val="30"/>
          <w:lang w:val="en-US" w:eastAsia="zh-CN"/>
        </w:rPr>
        <w:t>不</w:t>
      </w:r>
      <w:r>
        <w:rPr>
          <w:rFonts w:hint="eastAsia" w:ascii="宋体" w:hAnsi="宋体" w:eastAsia="宋体" w:cs="宋体"/>
          <w:spacing w:val="-15"/>
          <w:sz w:val="30"/>
          <w:szCs w:val="30"/>
          <w:lang w:eastAsia="zh-CN"/>
        </w:rPr>
        <w:t>超可研总投资批复的10%。</w:t>
      </w:r>
    </w:p>
    <w:p>
      <w:pPr>
        <w:numPr>
          <w:ilvl w:val="0"/>
          <w:numId w:val="4"/>
        </w:num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社会效益 </w:t>
      </w:r>
    </w:p>
    <w:p>
      <w:pPr>
        <w:numPr>
          <w:ilvl w:val="0"/>
          <w:numId w:val="0"/>
        </w:numPr>
        <w:adjustRightInd w:val="0"/>
        <w:snapToGrid w:val="0"/>
        <w:spacing w:line="574" w:lineRule="exact"/>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     施工期间未受交通部门处罚，合理规划施工，未占用社会资源。</w:t>
      </w:r>
    </w:p>
    <w:p>
      <w:pPr>
        <w:numPr>
          <w:ilvl w:val="0"/>
          <w:numId w:val="4"/>
        </w:num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生态效益</w:t>
      </w:r>
    </w:p>
    <w:p>
      <w:pPr>
        <w:numPr>
          <w:ilvl w:val="0"/>
          <w:numId w:val="0"/>
        </w:numPr>
        <w:adjustRightInd w:val="0"/>
        <w:snapToGrid w:val="0"/>
        <w:spacing w:line="574" w:lineRule="exact"/>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     施工现场环境保护符合要求，未受环保部门处罚。</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四</w:t>
      </w:r>
      <w:r>
        <w:rPr>
          <w:rFonts w:hint="eastAsia" w:ascii="宋体" w:hAnsi="宋体" w:eastAsia="宋体" w:cs="宋体"/>
          <w:spacing w:val="-15"/>
          <w:sz w:val="30"/>
          <w:szCs w:val="30"/>
          <w:lang w:eastAsia="zh-CN"/>
        </w:rPr>
        <w:t>）满意度</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 项目全面分析所涉及区域、行业群众利益和生产生活的影响，及群众对影响的承受能力。经过充分论证，项目符合大多数人民群众的意愿，所需的人力、财力、物力在可承受的范围内并且有保障，能确保连续性和稳定性。</w:t>
      </w:r>
      <w:r>
        <w:rPr>
          <w:rFonts w:hint="eastAsia" w:ascii="宋体" w:hAnsi="宋体" w:eastAsia="宋体" w:cs="宋体"/>
          <w:spacing w:val="-15"/>
          <w:sz w:val="30"/>
          <w:szCs w:val="30"/>
          <w:lang w:val="en-US" w:eastAsia="zh-CN"/>
        </w:rPr>
        <w:t>项目建设过程中，</w:t>
      </w:r>
      <w:r>
        <w:rPr>
          <w:rFonts w:hint="eastAsia" w:ascii="宋体" w:hAnsi="宋体" w:eastAsia="宋体" w:cs="宋体"/>
          <w:spacing w:val="-15"/>
          <w:sz w:val="30"/>
          <w:szCs w:val="30"/>
          <w:lang w:eastAsia="zh-CN"/>
        </w:rPr>
        <w:t>未受</w:t>
      </w:r>
      <w:r>
        <w:rPr>
          <w:rFonts w:hint="eastAsia" w:ascii="宋体" w:hAnsi="宋体" w:eastAsia="宋体" w:cs="宋体"/>
          <w:spacing w:val="-15"/>
          <w:sz w:val="30"/>
          <w:szCs w:val="30"/>
          <w:lang w:val="en-US" w:eastAsia="zh-CN"/>
        </w:rPr>
        <w:t>到周边居民的</w:t>
      </w:r>
      <w:r>
        <w:rPr>
          <w:rFonts w:hint="eastAsia" w:ascii="宋体" w:hAnsi="宋体" w:eastAsia="宋体" w:cs="宋体"/>
          <w:spacing w:val="-15"/>
          <w:sz w:val="30"/>
          <w:szCs w:val="30"/>
          <w:lang w:eastAsia="zh-CN"/>
        </w:rPr>
        <w:t>投诉。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经过综合评价，自评得分</w:t>
      </w:r>
      <w:r>
        <w:rPr>
          <w:rFonts w:hint="eastAsia" w:ascii="宋体" w:hAnsi="宋体" w:eastAsia="宋体" w:cs="宋体"/>
          <w:sz w:val="30"/>
          <w:szCs w:val="30"/>
          <w:highlight w:val="none"/>
          <w:lang w:eastAsia="zh-CN"/>
        </w:rPr>
        <w:t>为</w:t>
      </w:r>
      <w:r>
        <w:rPr>
          <w:rFonts w:hint="eastAsia" w:ascii="宋体" w:hAnsi="宋体" w:eastAsia="宋体" w:cs="宋体"/>
          <w:sz w:val="30"/>
          <w:szCs w:val="30"/>
          <w:highlight w:val="none"/>
          <w:lang w:val="en-US" w:eastAsia="zh-CN"/>
        </w:rPr>
        <w:t>95.1</w:t>
      </w:r>
      <w:r>
        <w:rPr>
          <w:rFonts w:hint="eastAsia" w:ascii="宋体" w:hAnsi="宋体" w:eastAsia="宋体" w:cs="宋体"/>
          <w:sz w:val="30"/>
          <w:szCs w:val="30"/>
          <w:highlight w:val="none"/>
          <w:lang w:eastAsia="zh-CN"/>
        </w:rPr>
        <w:t>分</w:t>
      </w:r>
      <w:r>
        <w:rPr>
          <w:rFonts w:hint="eastAsia" w:ascii="宋体" w:hAnsi="宋体" w:eastAsia="宋体" w:cs="宋体"/>
          <w:sz w:val="30"/>
          <w:szCs w:val="30"/>
          <w:lang w:eastAsia="zh-CN"/>
        </w:rPr>
        <w:t>，项目评价等级为优。</w:t>
      </w:r>
    </w:p>
    <w:p>
      <w:pPr>
        <w:numPr>
          <w:ilvl w:val="0"/>
          <w:numId w:val="5"/>
        </w:numPr>
        <w:adjustRightInd w:val="0"/>
        <w:snapToGrid w:val="0"/>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项目绩效</w:t>
      </w:r>
      <w:bookmarkStart w:id="4" w:name="_GoBack"/>
      <w:bookmarkEnd w:id="4"/>
    </w:p>
    <w:p>
      <w:pPr>
        <w:numPr>
          <w:ilvl w:val="0"/>
          <w:numId w:val="6"/>
        </w:numPr>
        <w:adjustRightInd w:val="0"/>
        <w:snapToGrid w:val="0"/>
        <w:spacing w:line="574" w:lineRule="exact"/>
        <w:ind w:firstLine="54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投资管理</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按照项目实施进度、合同约定等向财政部门申请拨付资金。项目开工后，积极推进施工过程结算，按照时间节点或者进度节点约定付款周期，对分部质量验收通过的工程量，原则上同步计量、确认和支付工程价款。</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本项目资金的使用完全在投资估算范围内，未发生超出估算的情况，项目资金按计划使用情况良好。</w:t>
      </w:r>
    </w:p>
    <w:p>
      <w:pPr>
        <w:numPr>
          <w:ilvl w:val="0"/>
          <w:numId w:val="6"/>
        </w:numPr>
        <w:adjustRightInd w:val="0"/>
        <w:snapToGrid w:val="0"/>
        <w:spacing w:line="574" w:lineRule="exact"/>
        <w:ind w:firstLine="54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质量管理   </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建立健全工程项目质量管理体系，配备专职人员并明确其质量管理职责。法定代表人按照规定签署授权书，明确项目负责人，项目负责人按照规定签署工程质量终身责任承诺书。</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2、项目开工后，</w:t>
      </w:r>
      <w:r>
        <w:rPr>
          <w:rFonts w:hint="eastAsia" w:ascii="宋体" w:hAnsi="宋体" w:eastAsia="宋体" w:cs="宋体"/>
          <w:spacing w:val="-15"/>
          <w:sz w:val="30"/>
          <w:szCs w:val="30"/>
          <w:lang w:eastAsia="zh-CN"/>
        </w:rPr>
        <w:t>督促勘察、设计、施工、监理等单位切实履行质量责任，按照工程质量管理标准化的要求贯彻落实工程质量安全手册制度、举牌验收制度、样板示范制度和质量责任追溯制度，严格按照合同约定加强对现场质量管理人员到岗履职情况的检查考核，及时组织处理建设过程中的质量问题。</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严格质量检测管理，将委托第三方检测机构对工程实施过程中原材料、半成品等进行抽检试验，对工程实体的质量进行现场检测。</w:t>
      </w:r>
    </w:p>
    <w:p>
      <w:p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（三）</w:t>
      </w:r>
      <w:r>
        <w:rPr>
          <w:rFonts w:hint="eastAsia" w:ascii="宋体" w:hAnsi="宋体" w:eastAsia="宋体" w:cs="宋体"/>
          <w:spacing w:val="-15"/>
          <w:sz w:val="30"/>
          <w:szCs w:val="30"/>
          <w:highlight w:val="none"/>
          <w:lang w:val="en-US" w:eastAsia="zh-CN"/>
        </w:rPr>
        <w:t>进度管理</w:t>
      </w:r>
    </w:p>
    <w:p>
      <w:p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严格按照现行建设工程管理程序编制报审程序、网络图指导，组织实施各环节的工作。运用关键线路控制原则，对影响项目开工建设及后续工作开展的工作、程序实施重点控制。审批过程中，保持与审批部门的联系，主动了解审批进度，可能的情况下予以协调，以促进审批进度，缩短审批时间。</w:t>
      </w:r>
      <w:r>
        <w:rPr>
          <w:rFonts w:hint="eastAsia" w:ascii="宋体" w:hAnsi="宋体" w:eastAsia="宋体" w:cs="宋体"/>
          <w:spacing w:val="-15"/>
          <w:sz w:val="30"/>
          <w:szCs w:val="30"/>
          <w:lang w:val="en-US" w:eastAsia="zh-CN"/>
        </w:rPr>
        <w:t xml:space="preserve"> </w:t>
      </w:r>
    </w:p>
    <w:p>
      <w:p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2、要求各参建单位严格按照节点控制进度，与进度计划对比，评估进度的完成情况，若有滞后计划的情况，向参建单位发函，要求其采取合理措施调整进度。</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（四）</w:t>
      </w:r>
      <w:r>
        <w:rPr>
          <w:rFonts w:hint="eastAsia" w:ascii="宋体" w:hAnsi="宋体" w:eastAsia="宋体" w:cs="宋体"/>
          <w:spacing w:val="-15"/>
          <w:sz w:val="30"/>
          <w:szCs w:val="30"/>
          <w:lang w:val="en-US" w:eastAsia="zh-CN"/>
        </w:rPr>
        <w:t>安全管理</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 </w:t>
      </w:r>
      <w:r>
        <w:rPr>
          <w:rFonts w:hint="eastAsia" w:ascii="宋体" w:hAnsi="宋体" w:eastAsia="宋体" w:cs="宋体"/>
          <w:spacing w:val="-15"/>
          <w:sz w:val="30"/>
          <w:szCs w:val="30"/>
          <w:lang w:val="en-US" w:eastAsia="zh-CN"/>
        </w:rPr>
        <w:t>项目开工后，</w:t>
      </w:r>
      <w:r>
        <w:rPr>
          <w:rFonts w:hint="eastAsia" w:ascii="宋体" w:hAnsi="宋体" w:eastAsia="宋体" w:cs="宋体"/>
          <w:spacing w:val="-15"/>
          <w:sz w:val="30"/>
          <w:szCs w:val="30"/>
          <w:lang w:eastAsia="zh-CN"/>
        </w:rPr>
        <w:t>开展安全巡查和检查，并对发现的问题向承包人提出相关建议，及时督促相关单位整改，跟踪整改情况；检查关键工程的工艺性试验；对质量缺陷、质量事故进行检查并提交报告；按照行业主管部门、上级有关单位的要求开展质量安全专项活动。</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1</w:t>
      </w:r>
      <w:r>
        <w:rPr>
          <w:rFonts w:hint="eastAsia" w:ascii="宋体" w:hAnsi="宋体" w:eastAsia="宋体" w:cs="宋体"/>
          <w:spacing w:val="-15"/>
          <w:sz w:val="30"/>
          <w:szCs w:val="30"/>
          <w:highlight w:val="none"/>
          <w:lang w:eastAsia="zh-CN"/>
        </w:rPr>
        <w:t xml:space="preserve">、组织施工组人员做好安全技术交底，项目部安全人员召集施工组现场人员做好三级安全教育培训、确保安全施工基础等工作。  </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2</w:t>
      </w:r>
      <w:r>
        <w:rPr>
          <w:rFonts w:hint="eastAsia" w:ascii="宋体" w:hAnsi="宋体" w:eastAsia="宋体" w:cs="宋体"/>
          <w:spacing w:val="-15"/>
          <w:sz w:val="30"/>
          <w:szCs w:val="30"/>
          <w:highlight w:val="none"/>
          <w:lang w:eastAsia="zh-CN"/>
        </w:rPr>
        <w:t>、检查项目部专职安全员是否到岗、在岗。</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3</w:t>
      </w:r>
      <w:r>
        <w:rPr>
          <w:rFonts w:hint="eastAsia" w:ascii="宋体" w:hAnsi="宋体" w:eastAsia="宋体" w:cs="宋体"/>
          <w:spacing w:val="-15"/>
          <w:sz w:val="30"/>
          <w:szCs w:val="30"/>
          <w:highlight w:val="none"/>
          <w:lang w:eastAsia="zh-CN"/>
        </w:rPr>
        <w:t>、督促安全员每天做好安全生产记录。</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4</w:t>
      </w:r>
      <w:r>
        <w:rPr>
          <w:rFonts w:hint="eastAsia" w:ascii="宋体" w:hAnsi="宋体" w:eastAsia="宋体" w:cs="宋体"/>
          <w:spacing w:val="-15"/>
          <w:sz w:val="30"/>
          <w:szCs w:val="30"/>
          <w:highlight w:val="none"/>
          <w:lang w:eastAsia="zh-CN"/>
        </w:rPr>
        <w:t>、平行检查时包括安全检查，发现存在安全隐患部位，立即要求整改。</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5</w:t>
      </w:r>
      <w:r>
        <w:rPr>
          <w:rFonts w:hint="eastAsia" w:ascii="宋体" w:hAnsi="宋体" w:eastAsia="宋体" w:cs="宋体"/>
          <w:spacing w:val="-15"/>
          <w:sz w:val="30"/>
          <w:szCs w:val="30"/>
          <w:highlight w:val="none"/>
          <w:lang w:eastAsia="zh-CN"/>
        </w:rPr>
        <w:t>、加强安全教育，要求项目部专职安全员定期召开施工人员安全会议。</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6</w:t>
      </w:r>
      <w:r>
        <w:rPr>
          <w:rFonts w:hint="eastAsia" w:ascii="宋体" w:hAnsi="宋体" w:eastAsia="宋体" w:cs="宋体"/>
          <w:spacing w:val="-15"/>
          <w:sz w:val="30"/>
          <w:szCs w:val="30"/>
          <w:highlight w:val="none"/>
          <w:lang w:eastAsia="zh-CN"/>
        </w:rPr>
        <w:t>、定期组织安全巡查。</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五</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 xml:space="preserve">档案管理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1、了解部门的工作业务开展情况，掌握部门文件材料的归档范围，收集部门的文件材料；整理文件时应遵循文件的形成规律和特点，保持文件之间的有机联系。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2、认真执行平时归档制度，对部门承办工作所产生的文件材料应及时收集，进行分类登记，归档，部门资料员应自行编制档案目录。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3、移交档案时，如有电子文档应同时移交相关文件，对于具有重要保存价值的电子文件，应备份内容相同的纸质文件同时归档。对于部门业务工作中仍需使用的文件和资料，应在归档前自行制作复印件，并在本部门内妥善保管。 </w:t>
      </w:r>
    </w:p>
    <w:p>
      <w:pPr>
        <w:adjustRightInd w:val="0"/>
        <w:snapToGrid w:val="0"/>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四、存在问题</w:t>
      </w:r>
      <w:r>
        <w:rPr>
          <w:rFonts w:hint="eastAsia" w:ascii="宋体" w:hAnsi="宋体" w:eastAsia="宋体" w:cs="宋体"/>
          <w:sz w:val="30"/>
          <w:szCs w:val="30"/>
          <w:lang w:eastAsia="zh-CN"/>
        </w:rPr>
        <w:t>。</w:t>
      </w:r>
    </w:p>
    <w:p>
      <w:pPr>
        <w:spacing w:line="574" w:lineRule="exact"/>
        <w:ind w:firstLine="600" w:firstLineChars="200"/>
        <w:jc w:val="both"/>
        <w:rPr>
          <w:rFonts w:ascii="宋体" w:hAnsi="宋体" w:eastAsia="宋体" w:cs="宋体"/>
          <w:sz w:val="30"/>
          <w:szCs w:val="30"/>
          <w:highlight w:val="cyan"/>
          <w:lang w:eastAsia="zh-CN"/>
        </w:rPr>
      </w:pPr>
      <w:r>
        <w:rPr>
          <w:rFonts w:hint="eastAsia" w:ascii="宋体" w:hAnsi="宋体" w:eastAsia="宋体" w:cs="宋体"/>
          <w:sz w:val="30"/>
          <w:szCs w:val="30"/>
          <w:highlight w:val="none"/>
          <w:lang w:eastAsia="zh-CN"/>
        </w:rPr>
        <w:t>项目尚未开始招投标、签订合同，资金执行率指标较低。今后将不断推进工程进度，加快债券资金支出进度，确保工程进度与资金支付进度相符。</w:t>
      </w:r>
    </w:p>
    <w:p>
      <w:pPr>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五、有关建议</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项目目前尚未开工，但是部分指标设定为开工后指标，和进度指标不匹配。今后将强化绩效目标管理，提高预算项目绩效目标填报的完整性、合理性、科学性。</w:t>
      </w:r>
    </w:p>
    <w:p>
      <w:pPr>
        <w:numPr>
          <w:ilvl w:val="0"/>
          <w:numId w:val="7"/>
        </w:numPr>
        <w:spacing w:line="574" w:lineRule="exact"/>
        <w:ind w:firstLine="602" w:firstLineChars="200"/>
        <w:jc w:val="both"/>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附件</w:t>
      </w:r>
      <w:bookmarkStart w:id="0" w:name="附件4_项目支出绩效评价工作方案提纲"/>
      <w:bookmarkEnd w:id="0"/>
      <w:bookmarkStart w:id="1" w:name="附件3_项目支出绩效评价指标体系框架"/>
      <w:bookmarkEnd w:id="1"/>
      <w:bookmarkStart w:id="2" w:name="苏财规2020-020附件-3"/>
      <w:bookmarkEnd w:id="2"/>
      <w:bookmarkStart w:id="3" w:name="苏财规2020-020附件-4"/>
      <w:bookmarkEnd w:id="3"/>
    </w:p>
    <w:p>
      <w:pPr>
        <w:spacing w:line="574" w:lineRule="exact"/>
        <w:ind w:firstLine="600" w:firstLineChars="200"/>
        <w:jc w:val="both"/>
        <w:rPr>
          <w:rFonts w:hint="eastAsia" w:ascii="宋体" w:hAnsi="宋体" w:eastAsia="宋体" w:cs="宋体"/>
          <w:sz w:val="30"/>
          <w:szCs w:val="30"/>
          <w:lang w:eastAsia="zh-CN"/>
        </w:rPr>
      </w:pPr>
      <w:r>
        <w:rPr>
          <w:rFonts w:hint="eastAsia" w:ascii="宋体" w:hAnsi="宋体" w:eastAsia="宋体" w:cs="宋体"/>
          <w:sz w:val="30"/>
          <w:szCs w:val="30"/>
          <w:lang w:val="en-US" w:eastAsia="zh-CN"/>
        </w:rPr>
        <w:t>1、绩效自评价评分表</w:t>
      </w:r>
    </w:p>
    <w:p>
      <w:pPr>
        <w:numPr>
          <w:ilvl w:val="0"/>
          <w:numId w:val="0"/>
        </w:numPr>
        <w:spacing w:line="574" w:lineRule="exact"/>
        <w:jc w:val="both"/>
        <w:rPr>
          <w:rFonts w:hint="eastAsia" w:ascii="宋体" w:hAnsi="宋体" w:eastAsia="宋体" w:cs="宋体"/>
          <w:b/>
          <w:bCs/>
          <w:sz w:val="30"/>
          <w:szCs w:val="30"/>
          <w:lang w:eastAsia="zh-CN"/>
        </w:rPr>
      </w:pPr>
    </w:p>
    <w:sectPr>
      <w:pgSz w:w="11910" w:h="16840"/>
      <w:pgMar w:top="1984" w:right="1134" w:bottom="1984" w:left="1417" w:header="720" w:footer="720"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Microsoft YaHei UI"/>
    <w:panose1 w:val="00000000000000000000"/>
    <w:charset w:val="86"/>
    <w:family w:val="script"/>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1EE595"/>
    <w:multiLevelType w:val="singleLevel"/>
    <w:tmpl w:val="8B1EE595"/>
    <w:lvl w:ilvl="0" w:tentative="0">
      <w:start w:val="1"/>
      <w:numFmt w:val="decimal"/>
      <w:suff w:val="nothing"/>
      <w:lvlText w:val="%1、"/>
      <w:lvlJc w:val="left"/>
    </w:lvl>
  </w:abstractNum>
  <w:abstractNum w:abstractNumId="1">
    <w:nsid w:val="A7ECF659"/>
    <w:multiLevelType w:val="singleLevel"/>
    <w:tmpl w:val="A7ECF659"/>
    <w:lvl w:ilvl="0" w:tentative="0">
      <w:start w:val="6"/>
      <w:numFmt w:val="chineseCounting"/>
      <w:suff w:val="nothing"/>
      <w:lvlText w:val="%1、"/>
      <w:lvlJc w:val="left"/>
      <w:rPr>
        <w:rFonts w:hint="eastAsia"/>
      </w:rPr>
    </w:lvl>
  </w:abstractNum>
  <w:abstractNum w:abstractNumId="2">
    <w:nsid w:val="0648E829"/>
    <w:multiLevelType w:val="singleLevel"/>
    <w:tmpl w:val="0648E829"/>
    <w:lvl w:ilvl="0" w:tentative="0">
      <w:start w:val="1"/>
      <w:numFmt w:val="chineseCounting"/>
      <w:suff w:val="nothing"/>
      <w:lvlText w:val="（%1）"/>
      <w:lvlJc w:val="left"/>
      <w:rPr>
        <w:rFonts w:hint="eastAsia"/>
      </w:rPr>
    </w:lvl>
  </w:abstractNum>
  <w:abstractNum w:abstractNumId="3">
    <w:nsid w:val="16502C84"/>
    <w:multiLevelType w:val="singleLevel"/>
    <w:tmpl w:val="16502C84"/>
    <w:lvl w:ilvl="0" w:tentative="0">
      <w:start w:val="2"/>
      <w:numFmt w:val="decimal"/>
      <w:suff w:val="nothing"/>
      <w:lvlText w:val="（%1）"/>
      <w:lvlJc w:val="left"/>
    </w:lvl>
  </w:abstractNum>
  <w:abstractNum w:abstractNumId="4">
    <w:nsid w:val="5477D830"/>
    <w:multiLevelType w:val="singleLevel"/>
    <w:tmpl w:val="5477D830"/>
    <w:lvl w:ilvl="0" w:tentative="0">
      <w:start w:val="3"/>
      <w:numFmt w:val="chineseCounting"/>
      <w:suff w:val="nothing"/>
      <w:lvlText w:val="%1、"/>
      <w:lvlJc w:val="left"/>
      <w:rPr>
        <w:rFonts w:hint="eastAsia"/>
      </w:rPr>
    </w:lvl>
  </w:abstractNum>
  <w:abstractNum w:abstractNumId="5">
    <w:nsid w:val="5AFE4926"/>
    <w:multiLevelType w:val="singleLevel"/>
    <w:tmpl w:val="5AFE4926"/>
    <w:lvl w:ilvl="0" w:tentative="0">
      <w:start w:val="2"/>
      <w:numFmt w:val="chineseCounting"/>
      <w:suff w:val="nothing"/>
      <w:lvlText w:val="（%1）"/>
      <w:lvlJc w:val="left"/>
      <w:pPr>
        <w:ind w:left="-160"/>
      </w:pPr>
      <w:rPr>
        <w:rFonts w:hint="eastAsia"/>
      </w:rPr>
    </w:lvl>
  </w:abstractNum>
  <w:abstractNum w:abstractNumId="6">
    <w:nsid w:val="776AF386"/>
    <w:multiLevelType w:val="singleLevel"/>
    <w:tmpl w:val="776AF386"/>
    <w:lvl w:ilvl="0" w:tentative="0">
      <w:start w:val="2"/>
      <w:numFmt w:val="decimal"/>
      <w:suff w:val="nothing"/>
      <w:lvlText w:val="%1、"/>
      <w:lvlJc w:val="left"/>
    </w:lvl>
  </w:abstractNum>
  <w:num w:numId="1">
    <w:abstractNumId w:val="5"/>
  </w:num>
  <w:num w:numId="2">
    <w:abstractNumId w:val="6"/>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wOGJlM2MwYTQ1ZjViODE0ZDU4ODIwMzJjNGNiY2IifQ=="/>
  </w:docVars>
  <w:rsids>
    <w:rsidRoot w:val="006A0286"/>
    <w:rsid w:val="0000186F"/>
    <w:rsid w:val="00027842"/>
    <w:rsid w:val="000F0010"/>
    <w:rsid w:val="001076FD"/>
    <w:rsid w:val="00112A3C"/>
    <w:rsid w:val="0012335B"/>
    <w:rsid w:val="00170EBA"/>
    <w:rsid w:val="001D43CE"/>
    <w:rsid w:val="001E1F08"/>
    <w:rsid w:val="001F5652"/>
    <w:rsid w:val="002034C4"/>
    <w:rsid w:val="00223670"/>
    <w:rsid w:val="002F39B9"/>
    <w:rsid w:val="00317F35"/>
    <w:rsid w:val="003D4D43"/>
    <w:rsid w:val="003E2E24"/>
    <w:rsid w:val="00412A90"/>
    <w:rsid w:val="00427AA3"/>
    <w:rsid w:val="00453872"/>
    <w:rsid w:val="00485FCA"/>
    <w:rsid w:val="00496584"/>
    <w:rsid w:val="004B1555"/>
    <w:rsid w:val="004E3E98"/>
    <w:rsid w:val="004F2889"/>
    <w:rsid w:val="00541FD2"/>
    <w:rsid w:val="0055497B"/>
    <w:rsid w:val="0058181F"/>
    <w:rsid w:val="005C5968"/>
    <w:rsid w:val="005D094F"/>
    <w:rsid w:val="005D61F8"/>
    <w:rsid w:val="006032DC"/>
    <w:rsid w:val="006A0286"/>
    <w:rsid w:val="006F1257"/>
    <w:rsid w:val="006F2AB8"/>
    <w:rsid w:val="00705B52"/>
    <w:rsid w:val="00721281"/>
    <w:rsid w:val="0072674E"/>
    <w:rsid w:val="007416BA"/>
    <w:rsid w:val="0075652D"/>
    <w:rsid w:val="00784065"/>
    <w:rsid w:val="007A754E"/>
    <w:rsid w:val="00830C91"/>
    <w:rsid w:val="008C735A"/>
    <w:rsid w:val="008D7527"/>
    <w:rsid w:val="008F6FC9"/>
    <w:rsid w:val="00926E98"/>
    <w:rsid w:val="0095504B"/>
    <w:rsid w:val="009B2D68"/>
    <w:rsid w:val="00A14DE2"/>
    <w:rsid w:val="00A72387"/>
    <w:rsid w:val="00A736D9"/>
    <w:rsid w:val="00A863A2"/>
    <w:rsid w:val="00AA24DC"/>
    <w:rsid w:val="00AC69E3"/>
    <w:rsid w:val="00B14C89"/>
    <w:rsid w:val="00B33955"/>
    <w:rsid w:val="00BD1F01"/>
    <w:rsid w:val="00CB64D3"/>
    <w:rsid w:val="00D20830"/>
    <w:rsid w:val="00D20FCF"/>
    <w:rsid w:val="00D71C46"/>
    <w:rsid w:val="00D855DD"/>
    <w:rsid w:val="00D85F96"/>
    <w:rsid w:val="00DE067D"/>
    <w:rsid w:val="00DF053C"/>
    <w:rsid w:val="00DF24E7"/>
    <w:rsid w:val="00E1011A"/>
    <w:rsid w:val="00E70A55"/>
    <w:rsid w:val="00EB03FD"/>
    <w:rsid w:val="00EB47A6"/>
    <w:rsid w:val="00ED06B2"/>
    <w:rsid w:val="00EF65E3"/>
    <w:rsid w:val="00F161C4"/>
    <w:rsid w:val="00F35A70"/>
    <w:rsid w:val="00F4202D"/>
    <w:rsid w:val="00FB5E7E"/>
    <w:rsid w:val="00FC405A"/>
    <w:rsid w:val="00FC7877"/>
    <w:rsid w:val="010B405F"/>
    <w:rsid w:val="01522F33"/>
    <w:rsid w:val="015522D5"/>
    <w:rsid w:val="0166457E"/>
    <w:rsid w:val="01B018C4"/>
    <w:rsid w:val="01F11CD4"/>
    <w:rsid w:val="0255721E"/>
    <w:rsid w:val="025D7FF3"/>
    <w:rsid w:val="027520D7"/>
    <w:rsid w:val="02D84C98"/>
    <w:rsid w:val="02DA66D9"/>
    <w:rsid w:val="031F3DF1"/>
    <w:rsid w:val="036363D4"/>
    <w:rsid w:val="0384671D"/>
    <w:rsid w:val="041004C7"/>
    <w:rsid w:val="04765A2E"/>
    <w:rsid w:val="04B9600D"/>
    <w:rsid w:val="04C603A8"/>
    <w:rsid w:val="04E11CA6"/>
    <w:rsid w:val="05031C1C"/>
    <w:rsid w:val="05261D79"/>
    <w:rsid w:val="052A6DD2"/>
    <w:rsid w:val="058A7C48"/>
    <w:rsid w:val="05F5658A"/>
    <w:rsid w:val="06513492"/>
    <w:rsid w:val="069977D8"/>
    <w:rsid w:val="06B57DFC"/>
    <w:rsid w:val="07025814"/>
    <w:rsid w:val="071D3E77"/>
    <w:rsid w:val="0730481F"/>
    <w:rsid w:val="0790350F"/>
    <w:rsid w:val="07AD40C1"/>
    <w:rsid w:val="07B014DD"/>
    <w:rsid w:val="07B84B3A"/>
    <w:rsid w:val="080B6E7B"/>
    <w:rsid w:val="087C7C39"/>
    <w:rsid w:val="08FE016C"/>
    <w:rsid w:val="09300B06"/>
    <w:rsid w:val="0936645D"/>
    <w:rsid w:val="09572537"/>
    <w:rsid w:val="097035F9"/>
    <w:rsid w:val="098D417D"/>
    <w:rsid w:val="09FC4E8C"/>
    <w:rsid w:val="0A044DA3"/>
    <w:rsid w:val="0A195594"/>
    <w:rsid w:val="0A3269CB"/>
    <w:rsid w:val="0AFE3B88"/>
    <w:rsid w:val="0B48482D"/>
    <w:rsid w:val="0B946198"/>
    <w:rsid w:val="0BD90DA4"/>
    <w:rsid w:val="0BFA1390"/>
    <w:rsid w:val="0C1038AA"/>
    <w:rsid w:val="0C1D32AF"/>
    <w:rsid w:val="0C33272B"/>
    <w:rsid w:val="0C523489"/>
    <w:rsid w:val="0CAC4FB4"/>
    <w:rsid w:val="0CB437FC"/>
    <w:rsid w:val="0CCC472A"/>
    <w:rsid w:val="0CF55C46"/>
    <w:rsid w:val="0D1D75F3"/>
    <w:rsid w:val="0D3C666E"/>
    <w:rsid w:val="0DA11A57"/>
    <w:rsid w:val="0DB77E1B"/>
    <w:rsid w:val="0DE30198"/>
    <w:rsid w:val="0DE70FE6"/>
    <w:rsid w:val="0E3746E5"/>
    <w:rsid w:val="0E642E01"/>
    <w:rsid w:val="0F123345"/>
    <w:rsid w:val="0F961D1A"/>
    <w:rsid w:val="0FB71F52"/>
    <w:rsid w:val="0FC86E19"/>
    <w:rsid w:val="105253FD"/>
    <w:rsid w:val="10E741A0"/>
    <w:rsid w:val="10F0290B"/>
    <w:rsid w:val="10F451BF"/>
    <w:rsid w:val="11052878"/>
    <w:rsid w:val="114F378A"/>
    <w:rsid w:val="1150463B"/>
    <w:rsid w:val="11D772FB"/>
    <w:rsid w:val="11E55436"/>
    <w:rsid w:val="125853BD"/>
    <w:rsid w:val="12B47E12"/>
    <w:rsid w:val="12D6271E"/>
    <w:rsid w:val="12F336D9"/>
    <w:rsid w:val="13966BB5"/>
    <w:rsid w:val="13D604FC"/>
    <w:rsid w:val="15763D45"/>
    <w:rsid w:val="15785BB6"/>
    <w:rsid w:val="15AE1730"/>
    <w:rsid w:val="15AE235B"/>
    <w:rsid w:val="16467BBB"/>
    <w:rsid w:val="16690AD8"/>
    <w:rsid w:val="168B1A72"/>
    <w:rsid w:val="17AE3C6A"/>
    <w:rsid w:val="17CF014A"/>
    <w:rsid w:val="180B3F4D"/>
    <w:rsid w:val="181D78FA"/>
    <w:rsid w:val="18915FD7"/>
    <w:rsid w:val="18B84674"/>
    <w:rsid w:val="18C930EF"/>
    <w:rsid w:val="18F70EA2"/>
    <w:rsid w:val="190212E1"/>
    <w:rsid w:val="192D38C8"/>
    <w:rsid w:val="193351D1"/>
    <w:rsid w:val="19341A2E"/>
    <w:rsid w:val="196D699A"/>
    <w:rsid w:val="19831126"/>
    <w:rsid w:val="19A36EAD"/>
    <w:rsid w:val="1A183487"/>
    <w:rsid w:val="1A387A77"/>
    <w:rsid w:val="1A8B0593"/>
    <w:rsid w:val="1ABC6DFD"/>
    <w:rsid w:val="1AF128F9"/>
    <w:rsid w:val="1BE032D6"/>
    <w:rsid w:val="1BE80837"/>
    <w:rsid w:val="1C220CF4"/>
    <w:rsid w:val="1C544E56"/>
    <w:rsid w:val="1C8B0CB9"/>
    <w:rsid w:val="1CAA202B"/>
    <w:rsid w:val="1CB57518"/>
    <w:rsid w:val="1CEE0B2F"/>
    <w:rsid w:val="1D0E6F59"/>
    <w:rsid w:val="1E223E6B"/>
    <w:rsid w:val="1E3B2713"/>
    <w:rsid w:val="1E7A1200"/>
    <w:rsid w:val="1EF0001F"/>
    <w:rsid w:val="1EF6072C"/>
    <w:rsid w:val="1F0F26C5"/>
    <w:rsid w:val="1F141FC7"/>
    <w:rsid w:val="1F4153EC"/>
    <w:rsid w:val="20104D96"/>
    <w:rsid w:val="20A57420"/>
    <w:rsid w:val="20AB7D17"/>
    <w:rsid w:val="20E5699A"/>
    <w:rsid w:val="20EC75B1"/>
    <w:rsid w:val="20FA72D4"/>
    <w:rsid w:val="213E63B9"/>
    <w:rsid w:val="21823518"/>
    <w:rsid w:val="21A94054"/>
    <w:rsid w:val="21CA79F1"/>
    <w:rsid w:val="232E3EB1"/>
    <w:rsid w:val="23647F11"/>
    <w:rsid w:val="2381290B"/>
    <w:rsid w:val="23BA0077"/>
    <w:rsid w:val="24550140"/>
    <w:rsid w:val="248B40E3"/>
    <w:rsid w:val="24F3563C"/>
    <w:rsid w:val="251865DA"/>
    <w:rsid w:val="25B367A6"/>
    <w:rsid w:val="261C4DF6"/>
    <w:rsid w:val="26360CD5"/>
    <w:rsid w:val="26394025"/>
    <w:rsid w:val="264C1327"/>
    <w:rsid w:val="265E2CFF"/>
    <w:rsid w:val="26737D1F"/>
    <w:rsid w:val="26B741BD"/>
    <w:rsid w:val="270B77EA"/>
    <w:rsid w:val="27BF3329"/>
    <w:rsid w:val="27D112AE"/>
    <w:rsid w:val="28333130"/>
    <w:rsid w:val="288363F1"/>
    <w:rsid w:val="28DE70CF"/>
    <w:rsid w:val="28ED5497"/>
    <w:rsid w:val="290D492E"/>
    <w:rsid w:val="294A7316"/>
    <w:rsid w:val="294E2E79"/>
    <w:rsid w:val="294F7F37"/>
    <w:rsid w:val="2A083A69"/>
    <w:rsid w:val="2A171AE2"/>
    <w:rsid w:val="2A4C443E"/>
    <w:rsid w:val="2A8635DD"/>
    <w:rsid w:val="2A8704DB"/>
    <w:rsid w:val="2B007153"/>
    <w:rsid w:val="2B4E46A4"/>
    <w:rsid w:val="2B57010A"/>
    <w:rsid w:val="2BC179BE"/>
    <w:rsid w:val="2C0E033F"/>
    <w:rsid w:val="2C13380B"/>
    <w:rsid w:val="2C5B7427"/>
    <w:rsid w:val="2CAB0320"/>
    <w:rsid w:val="2CB0263E"/>
    <w:rsid w:val="2D13578C"/>
    <w:rsid w:val="2D3C675D"/>
    <w:rsid w:val="2D960E01"/>
    <w:rsid w:val="2DC512C1"/>
    <w:rsid w:val="2ECE4A89"/>
    <w:rsid w:val="2EEB3ECB"/>
    <w:rsid w:val="2F4B41D2"/>
    <w:rsid w:val="2F893638"/>
    <w:rsid w:val="2F9A5FCC"/>
    <w:rsid w:val="2FBC5F92"/>
    <w:rsid w:val="2FD55F51"/>
    <w:rsid w:val="2FDE0777"/>
    <w:rsid w:val="2FE104EC"/>
    <w:rsid w:val="30350655"/>
    <w:rsid w:val="306B50FC"/>
    <w:rsid w:val="30730E37"/>
    <w:rsid w:val="3083606D"/>
    <w:rsid w:val="309161AB"/>
    <w:rsid w:val="30A85ED8"/>
    <w:rsid w:val="30EB524A"/>
    <w:rsid w:val="30F11747"/>
    <w:rsid w:val="311D7B96"/>
    <w:rsid w:val="3122424F"/>
    <w:rsid w:val="3168581A"/>
    <w:rsid w:val="3223715A"/>
    <w:rsid w:val="32454D73"/>
    <w:rsid w:val="326B739A"/>
    <w:rsid w:val="32D3237F"/>
    <w:rsid w:val="331217FF"/>
    <w:rsid w:val="3338475E"/>
    <w:rsid w:val="33804D41"/>
    <w:rsid w:val="33EA5D0B"/>
    <w:rsid w:val="33F00D0E"/>
    <w:rsid w:val="341359E2"/>
    <w:rsid w:val="34214C71"/>
    <w:rsid w:val="348A2CD0"/>
    <w:rsid w:val="353D61D5"/>
    <w:rsid w:val="35762E24"/>
    <w:rsid w:val="35D51CC1"/>
    <w:rsid w:val="35FF414A"/>
    <w:rsid w:val="36587B4D"/>
    <w:rsid w:val="3698058A"/>
    <w:rsid w:val="369D19AA"/>
    <w:rsid w:val="371E7849"/>
    <w:rsid w:val="37206361"/>
    <w:rsid w:val="372D1FC1"/>
    <w:rsid w:val="37930D8D"/>
    <w:rsid w:val="37C73E07"/>
    <w:rsid w:val="37FD5054"/>
    <w:rsid w:val="38055F79"/>
    <w:rsid w:val="38BB18EB"/>
    <w:rsid w:val="38E452E6"/>
    <w:rsid w:val="394915ED"/>
    <w:rsid w:val="395635DF"/>
    <w:rsid w:val="39847CE6"/>
    <w:rsid w:val="39B01F36"/>
    <w:rsid w:val="3A0D48E4"/>
    <w:rsid w:val="3A1460C1"/>
    <w:rsid w:val="3A634545"/>
    <w:rsid w:val="3A667F7C"/>
    <w:rsid w:val="3A673119"/>
    <w:rsid w:val="3A7379ED"/>
    <w:rsid w:val="3A845141"/>
    <w:rsid w:val="3A865F28"/>
    <w:rsid w:val="3AAF547F"/>
    <w:rsid w:val="3AEF7F72"/>
    <w:rsid w:val="3B5902C2"/>
    <w:rsid w:val="3B6D56B7"/>
    <w:rsid w:val="3B892174"/>
    <w:rsid w:val="3B90654D"/>
    <w:rsid w:val="3BA256E9"/>
    <w:rsid w:val="3BA35630"/>
    <w:rsid w:val="3BA7084C"/>
    <w:rsid w:val="3C033CD5"/>
    <w:rsid w:val="3CB52AF5"/>
    <w:rsid w:val="3CC82828"/>
    <w:rsid w:val="3CCB1C92"/>
    <w:rsid w:val="3CDD2778"/>
    <w:rsid w:val="3D2518C5"/>
    <w:rsid w:val="3D6048FD"/>
    <w:rsid w:val="3D864BBD"/>
    <w:rsid w:val="3DBE736E"/>
    <w:rsid w:val="3DC12D0A"/>
    <w:rsid w:val="3DCF7004"/>
    <w:rsid w:val="3DDB1411"/>
    <w:rsid w:val="3E753011"/>
    <w:rsid w:val="3EA90890"/>
    <w:rsid w:val="3F20042C"/>
    <w:rsid w:val="3F453C1E"/>
    <w:rsid w:val="3F4C7741"/>
    <w:rsid w:val="3F4F69F8"/>
    <w:rsid w:val="3F600A8B"/>
    <w:rsid w:val="3FA07A8C"/>
    <w:rsid w:val="3FED748A"/>
    <w:rsid w:val="40210715"/>
    <w:rsid w:val="40415288"/>
    <w:rsid w:val="407C4056"/>
    <w:rsid w:val="408A5443"/>
    <w:rsid w:val="40BB1E2E"/>
    <w:rsid w:val="40E1256E"/>
    <w:rsid w:val="42376881"/>
    <w:rsid w:val="42750D5C"/>
    <w:rsid w:val="437C7482"/>
    <w:rsid w:val="43880F63"/>
    <w:rsid w:val="43CA157C"/>
    <w:rsid w:val="43E918E1"/>
    <w:rsid w:val="44155AE3"/>
    <w:rsid w:val="443D7F72"/>
    <w:rsid w:val="44764150"/>
    <w:rsid w:val="4492597B"/>
    <w:rsid w:val="45033356"/>
    <w:rsid w:val="45F54BE3"/>
    <w:rsid w:val="461E33FF"/>
    <w:rsid w:val="4623731B"/>
    <w:rsid w:val="46335ED4"/>
    <w:rsid w:val="46D63D94"/>
    <w:rsid w:val="471F573B"/>
    <w:rsid w:val="479059EF"/>
    <w:rsid w:val="47EF3327"/>
    <w:rsid w:val="480F26E7"/>
    <w:rsid w:val="48223734"/>
    <w:rsid w:val="48594C7C"/>
    <w:rsid w:val="48C837CF"/>
    <w:rsid w:val="49344605"/>
    <w:rsid w:val="49990D4A"/>
    <w:rsid w:val="4A2B3D49"/>
    <w:rsid w:val="4A4702AB"/>
    <w:rsid w:val="4ACA56B2"/>
    <w:rsid w:val="4AEF57BE"/>
    <w:rsid w:val="4B111C8B"/>
    <w:rsid w:val="4B600CF3"/>
    <w:rsid w:val="4B944784"/>
    <w:rsid w:val="4BF316E3"/>
    <w:rsid w:val="4C67205E"/>
    <w:rsid w:val="4C83676C"/>
    <w:rsid w:val="4CA56E4F"/>
    <w:rsid w:val="4CF97C65"/>
    <w:rsid w:val="4D3E71B4"/>
    <w:rsid w:val="4DD3727F"/>
    <w:rsid w:val="4DE10F49"/>
    <w:rsid w:val="4E2E5D79"/>
    <w:rsid w:val="4E6525CD"/>
    <w:rsid w:val="4E97524A"/>
    <w:rsid w:val="4F174207"/>
    <w:rsid w:val="4F2C6C47"/>
    <w:rsid w:val="4F4D5A86"/>
    <w:rsid w:val="4F626628"/>
    <w:rsid w:val="4FD33566"/>
    <w:rsid w:val="4FDF668F"/>
    <w:rsid w:val="4FE10CA2"/>
    <w:rsid w:val="50084A38"/>
    <w:rsid w:val="507A413A"/>
    <w:rsid w:val="507C074A"/>
    <w:rsid w:val="510838C4"/>
    <w:rsid w:val="511A45C5"/>
    <w:rsid w:val="514C537E"/>
    <w:rsid w:val="51810ACE"/>
    <w:rsid w:val="51A41A56"/>
    <w:rsid w:val="51E46C82"/>
    <w:rsid w:val="52DB4C0C"/>
    <w:rsid w:val="52E669FA"/>
    <w:rsid w:val="53222FD4"/>
    <w:rsid w:val="53452B9D"/>
    <w:rsid w:val="54161C73"/>
    <w:rsid w:val="543E054C"/>
    <w:rsid w:val="543E66F3"/>
    <w:rsid w:val="55805088"/>
    <w:rsid w:val="55B95D86"/>
    <w:rsid w:val="55D9206E"/>
    <w:rsid w:val="55EF5819"/>
    <w:rsid w:val="564E192B"/>
    <w:rsid w:val="566859AF"/>
    <w:rsid w:val="566B44F9"/>
    <w:rsid w:val="5697228A"/>
    <w:rsid w:val="56B70B57"/>
    <w:rsid w:val="56E535DA"/>
    <w:rsid w:val="56F853E0"/>
    <w:rsid w:val="57086048"/>
    <w:rsid w:val="572345A1"/>
    <w:rsid w:val="57E45BF4"/>
    <w:rsid w:val="58675193"/>
    <w:rsid w:val="58E81ECC"/>
    <w:rsid w:val="592C33B9"/>
    <w:rsid w:val="59536686"/>
    <w:rsid w:val="59747B49"/>
    <w:rsid w:val="59AD1935"/>
    <w:rsid w:val="5A601E9A"/>
    <w:rsid w:val="5AB1171C"/>
    <w:rsid w:val="5AC87D9B"/>
    <w:rsid w:val="5B115127"/>
    <w:rsid w:val="5B7019D4"/>
    <w:rsid w:val="5BED30BF"/>
    <w:rsid w:val="5BF5560E"/>
    <w:rsid w:val="5C07081F"/>
    <w:rsid w:val="5C4E1BEB"/>
    <w:rsid w:val="5C7D20F2"/>
    <w:rsid w:val="5CAA564F"/>
    <w:rsid w:val="5CE15514"/>
    <w:rsid w:val="5CEF64F6"/>
    <w:rsid w:val="5D505750"/>
    <w:rsid w:val="5D76237F"/>
    <w:rsid w:val="5DA71487"/>
    <w:rsid w:val="5DAF6297"/>
    <w:rsid w:val="5DD042A4"/>
    <w:rsid w:val="5DEF2CAC"/>
    <w:rsid w:val="5E441F20"/>
    <w:rsid w:val="5E702A95"/>
    <w:rsid w:val="5E927EE6"/>
    <w:rsid w:val="5F6F3658"/>
    <w:rsid w:val="5F7C7776"/>
    <w:rsid w:val="60076B58"/>
    <w:rsid w:val="606635B7"/>
    <w:rsid w:val="606E1CFF"/>
    <w:rsid w:val="60A8014F"/>
    <w:rsid w:val="613C5419"/>
    <w:rsid w:val="6148266D"/>
    <w:rsid w:val="62324A96"/>
    <w:rsid w:val="628C5A67"/>
    <w:rsid w:val="629D3C8C"/>
    <w:rsid w:val="62E00045"/>
    <w:rsid w:val="632E6E5F"/>
    <w:rsid w:val="637847E3"/>
    <w:rsid w:val="63CC1360"/>
    <w:rsid w:val="64117A5B"/>
    <w:rsid w:val="64590086"/>
    <w:rsid w:val="646B7CF6"/>
    <w:rsid w:val="647B0128"/>
    <w:rsid w:val="64B34D12"/>
    <w:rsid w:val="653308D7"/>
    <w:rsid w:val="65CC62CA"/>
    <w:rsid w:val="6636339A"/>
    <w:rsid w:val="668A6466"/>
    <w:rsid w:val="66BF00FF"/>
    <w:rsid w:val="670C27B5"/>
    <w:rsid w:val="67360FA6"/>
    <w:rsid w:val="67927308"/>
    <w:rsid w:val="67C22BC3"/>
    <w:rsid w:val="67CA414B"/>
    <w:rsid w:val="68256943"/>
    <w:rsid w:val="68774F7F"/>
    <w:rsid w:val="688D19A9"/>
    <w:rsid w:val="68C63B8D"/>
    <w:rsid w:val="69242AFE"/>
    <w:rsid w:val="6A095690"/>
    <w:rsid w:val="6A543314"/>
    <w:rsid w:val="6A7C484E"/>
    <w:rsid w:val="6AFF1E9B"/>
    <w:rsid w:val="6B5A4EA4"/>
    <w:rsid w:val="6B7617D7"/>
    <w:rsid w:val="6B7C455F"/>
    <w:rsid w:val="6B951B52"/>
    <w:rsid w:val="6BAC3191"/>
    <w:rsid w:val="6BBE13B4"/>
    <w:rsid w:val="6BD46244"/>
    <w:rsid w:val="6C141B76"/>
    <w:rsid w:val="6C294FF9"/>
    <w:rsid w:val="6C681E3D"/>
    <w:rsid w:val="6CA034B2"/>
    <w:rsid w:val="6CBE13CE"/>
    <w:rsid w:val="6CDD63AD"/>
    <w:rsid w:val="6CDF3526"/>
    <w:rsid w:val="6CF9419C"/>
    <w:rsid w:val="6D386A1A"/>
    <w:rsid w:val="6D3F443D"/>
    <w:rsid w:val="6DAA462E"/>
    <w:rsid w:val="6DAB0280"/>
    <w:rsid w:val="6DE06F3E"/>
    <w:rsid w:val="6E0C07D1"/>
    <w:rsid w:val="6E0E0133"/>
    <w:rsid w:val="6E160D96"/>
    <w:rsid w:val="6E2711F5"/>
    <w:rsid w:val="6E3D1D31"/>
    <w:rsid w:val="6F0230C8"/>
    <w:rsid w:val="6F3430C2"/>
    <w:rsid w:val="6F7B75B8"/>
    <w:rsid w:val="6F847DBE"/>
    <w:rsid w:val="6FE57CB0"/>
    <w:rsid w:val="70876749"/>
    <w:rsid w:val="70B54896"/>
    <w:rsid w:val="70DF2C02"/>
    <w:rsid w:val="71031848"/>
    <w:rsid w:val="71A022C9"/>
    <w:rsid w:val="71BE59CD"/>
    <w:rsid w:val="71DC5E53"/>
    <w:rsid w:val="71FB781B"/>
    <w:rsid w:val="722D5109"/>
    <w:rsid w:val="722F34F0"/>
    <w:rsid w:val="72A921D9"/>
    <w:rsid w:val="730A32BE"/>
    <w:rsid w:val="73345D5F"/>
    <w:rsid w:val="734B0FCB"/>
    <w:rsid w:val="737C3589"/>
    <w:rsid w:val="737D6D55"/>
    <w:rsid w:val="73896DD6"/>
    <w:rsid w:val="73C202A1"/>
    <w:rsid w:val="740A44FF"/>
    <w:rsid w:val="742525FA"/>
    <w:rsid w:val="742662D7"/>
    <w:rsid w:val="74365A66"/>
    <w:rsid w:val="746E722A"/>
    <w:rsid w:val="74B60BDD"/>
    <w:rsid w:val="74DC6AB5"/>
    <w:rsid w:val="74FC7BDE"/>
    <w:rsid w:val="756B594D"/>
    <w:rsid w:val="75BE5F9B"/>
    <w:rsid w:val="75F02D47"/>
    <w:rsid w:val="76195DD6"/>
    <w:rsid w:val="768E4BCA"/>
    <w:rsid w:val="770110A1"/>
    <w:rsid w:val="780340CB"/>
    <w:rsid w:val="78056103"/>
    <w:rsid w:val="78177082"/>
    <w:rsid w:val="7839178E"/>
    <w:rsid w:val="787352C6"/>
    <w:rsid w:val="78874D6A"/>
    <w:rsid w:val="78BA0F21"/>
    <w:rsid w:val="790B11E8"/>
    <w:rsid w:val="794F4242"/>
    <w:rsid w:val="79A100AE"/>
    <w:rsid w:val="79D7229C"/>
    <w:rsid w:val="7A3031E0"/>
    <w:rsid w:val="7A3C0679"/>
    <w:rsid w:val="7A8821DD"/>
    <w:rsid w:val="7AD26045"/>
    <w:rsid w:val="7B7C4096"/>
    <w:rsid w:val="7CD02F2E"/>
    <w:rsid w:val="7CF10940"/>
    <w:rsid w:val="7D464386"/>
    <w:rsid w:val="7D627399"/>
    <w:rsid w:val="7D6C7745"/>
    <w:rsid w:val="7D9D2EC1"/>
    <w:rsid w:val="7DB5094D"/>
    <w:rsid w:val="7DBE6769"/>
    <w:rsid w:val="7E9006F1"/>
    <w:rsid w:val="7EB0506A"/>
    <w:rsid w:val="7F1873C3"/>
    <w:rsid w:val="7F1F5B28"/>
    <w:rsid w:val="7F4514DB"/>
    <w:rsid w:val="7F674D76"/>
    <w:rsid w:val="7F900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autoRedefine/>
    <w:qFormat/>
    <w:uiPriority w:val="1"/>
    <w:pPr>
      <w:ind w:left="100"/>
      <w:outlineLvl w:val="0"/>
    </w:pPr>
    <w:rPr>
      <w:rFonts w:ascii="宋体" w:hAnsi="宋体" w:eastAsia="宋体"/>
      <w:sz w:val="36"/>
      <w:szCs w:val="36"/>
    </w:rPr>
  </w:style>
  <w:style w:type="paragraph" w:styleId="3">
    <w:name w:val="heading 2"/>
    <w:basedOn w:val="1"/>
    <w:next w:val="1"/>
    <w:autoRedefine/>
    <w:qFormat/>
    <w:uiPriority w:val="1"/>
    <w:pPr>
      <w:ind w:left="-21" w:firstLine="2592"/>
      <w:outlineLvl w:val="1"/>
    </w:pPr>
    <w:rPr>
      <w:rFonts w:ascii="宋体" w:hAnsi="宋体" w:eastAsia="宋体"/>
      <w:sz w:val="32"/>
      <w:szCs w:val="32"/>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0"/>
    <w:autoRedefine/>
    <w:semiHidden/>
    <w:unhideWhenUsed/>
    <w:qFormat/>
    <w:uiPriority w:val="99"/>
  </w:style>
  <w:style w:type="paragraph" w:styleId="5">
    <w:name w:val="Body Text"/>
    <w:basedOn w:val="1"/>
    <w:autoRedefine/>
    <w:qFormat/>
    <w:uiPriority w:val="1"/>
    <w:pPr>
      <w:spacing w:before="207"/>
      <w:ind w:left="120"/>
    </w:pPr>
    <w:rPr>
      <w:rFonts w:ascii="宋体" w:hAnsi="宋体" w:eastAsia="宋体"/>
      <w:sz w:val="30"/>
      <w:szCs w:val="30"/>
    </w:rPr>
  </w:style>
  <w:style w:type="paragraph" w:styleId="6">
    <w:name w:val="Balloon Text"/>
    <w:basedOn w:val="1"/>
    <w:link w:val="22"/>
    <w:autoRedefine/>
    <w:semiHidden/>
    <w:unhideWhenUsed/>
    <w:qFormat/>
    <w:uiPriority w:val="99"/>
    <w:rPr>
      <w:sz w:val="18"/>
      <w:szCs w:val="18"/>
    </w:rPr>
  </w:style>
  <w:style w:type="paragraph" w:styleId="7">
    <w:name w:val="footer"/>
    <w:basedOn w:val="1"/>
    <w:link w:val="19"/>
    <w:autoRedefine/>
    <w:unhideWhenUsed/>
    <w:qFormat/>
    <w:uiPriority w:val="99"/>
    <w:pPr>
      <w:tabs>
        <w:tab w:val="center" w:pos="4153"/>
        <w:tab w:val="right" w:pos="8306"/>
      </w:tabs>
      <w:snapToGrid w:val="0"/>
    </w:pPr>
    <w:rPr>
      <w:sz w:val="18"/>
      <w:szCs w:val="18"/>
    </w:rPr>
  </w:style>
  <w:style w:type="paragraph" w:styleId="8">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1"/>
    <w:autoRedefine/>
    <w:semiHidden/>
    <w:unhideWhenUsed/>
    <w:qFormat/>
    <w:uiPriority w:val="99"/>
    <w:rPr>
      <w:b/>
      <w:bCs/>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semiHidden/>
    <w:unhideWhenUsed/>
    <w:qFormat/>
    <w:uiPriority w:val="99"/>
    <w:rPr>
      <w:sz w:val="21"/>
      <w:szCs w:val="21"/>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styleId="15">
    <w:name w:val="List Paragraph"/>
    <w:basedOn w:val="1"/>
    <w:autoRedefine/>
    <w:qFormat/>
    <w:uiPriority w:val="1"/>
  </w:style>
  <w:style w:type="paragraph" w:customStyle="1" w:styleId="16">
    <w:name w:val="Table Paragraph"/>
    <w:basedOn w:val="1"/>
    <w:autoRedefine/>
    <w:qFormat/>
    <w:uiPriority w:val="1"/>
  </w:style>
  <w:style w:type="paragraph" w:customStyle="1" w:styleId="17">
    <w:name w:val="Default"/>
    <w:autoRedefine/>
    <w:qFormat/>
    <w:uiPriority w:val="0"/>
    <w:pPr>
      <w:widowControl w:val="0"/>
      <w:autoSpaceDE w:val="0"/>
      <w:autoSpaceDN w:val="0"/>
      <w:adjustRightInd w:val="0"/>
    </w:pPr>
    <w:rPr>
      <w:rFonts w:ascii="方正黑体_GBK" w:hAnsi="方正黑体_GBK" w:cs="方正黑体_GBK" w:eastAsiaTheme="minorEastAsia"/>
      <w:color w:val="000000"/>
      <w:sz w:val="24"/>
      <w:szCs w:val="24"/>
      <w:lang w:val="en-US" w:eastAsia="en-US" w:bidi="ar-SA"/>
    </w:rPr>
  </w:style>
  <w:style w:type="character" w:customStyle="1" w:styleId="18">
    <w:name w:val="页眉 字符"/>
    <w:basedOn w:val="12"/>
    <w:link w:val="8"/>
    <w:autoRedefine/>
    <w:qFormat/>
    <w:uiPriority w:val="99"/>
    <w:rPr>
      <w:sz w:val="18"/>
      <w:szCs w:val="18"/>
    </w:rPr>
  </w:style>
  <w:style w:type="character" w:customStyle="1" w:styleId="19">
    <w:name w:val="页脚 字符"/>
    <w:basedOn w:val="12"/>
    <w:link w:val="7"/>
    <w:autoRedefine/>
    <w:qFormat/>
    <w:uiPriority w:val="99"/>
    <w:rPr>
      <w:sz w:val="18"/>
      <w:szCs w:val="18"/>
    </w:rPr>
  </w:style>
  <w:style w:type="character" w:customStyle="1" w:styleId="20">
    <w:name w:val="批注文字 字符"/>
    <w:basedOn w:val="12"/>
    <w:link w:val="4"/>
    <w:autoRedefine/>
    <w:semiHidden/>
    <w:qFormat/>
    <w:uiPriority w:val="99"/>
    <w:rPr>
      <w:rFonts w:asciiTheme="minorHAnsi" w:hAnsiTheme="minorHAnsi" w:eastAsiaTheme="minorEastAsia" w:cstheme="minorBidi"/>
      <w:sz w:val="22"/>
      <w:szCs w:val="22"/>
      <w:lang w:eastAsia="en-US"/>
    </w:rPr>
  </w:style>
  <w:style w:type="character" w:customStyle="1" w:styleId="21">
    <w:name w:val="批注主题 字符"/>
    <w:basedOn w:val="20"/>
    <w:link w:val="9"/>
    <w:autoRedefine/>
    <w:semiHidden/>
    <w:qFormat/>
    <w:uiPriority w:val="99"/>
    <w:rPr>
      <w:rFonts w:asciiTheme="minorHAnsi" w:hAnsiTheme="minorHAnsi" w:eastAsiaTheme="minorEastAsia" w:cstheme="minorBidi"/>
      <w:b/>
      <w:bCs/>
      <w:sz w:val="22"/>
      <w:szCs w:val="22"/>
      <w:lang w:eastAsia="en-US"/>
    </w:rPr>
  </w:style>
  <w:style w:type="character" w:customStyle="1" w:styleId="22">
    <w:name w:val="批注框文本 字符"/>
    <w:basedOn w:val="12"/>
    <w:link w:val="6"/>
    <w:autoRedefine/>
    <w:semiHidden/>
    <w:qFormat/>
    <w:uiPriority w:val="99"/>
    <w:rPr>
      <w:rFonts w:asciiTheme="minorHAnsi" w:hAnsiTheme="minorHAnsi" w:eastAsiaTheme="minorEastAsia" w:cstheme="minorBidi"/>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4577</Words>
  <Characters>4745</Characters>
  <Lines>61</Lines>
  <Paragraphs>17</Paragraphs>
  <TotalTime>4</TotalTime>
  <ScaleCrop>false</ScaleCrop>
  <LinksUpToDate>false</LinksUpToDate>
  <CharactersWithSpaces>4786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2021-08-19T09:37:00Z</dcterms:created>
  <dc:creator>张肖军(拟稿)</dc:creator>
  <cp:lastModifiedBy>Amy</cp:lastModifiedBy>
  <cp:lastPrinted>2023-03-01T23:47:00Z</cp:lastPrinted>
  <dcterms:modified xsi:type="dcterms:W3CDTF">2024-04-10T06:57:11Z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Adobe Acrobat Pro 11.0.7</vt:lpwstr>
  </property>
  <property fmtid="{D5CDD505-2E9C-101B-9397-08002B2CF9AE}" pid="4" name="LastSaved">
    <vt:filetime>2021-08-19T00:00:00Z</vt:filetime>
  </property>
  <property fmtid="{D5CDD505-2E9C-101B-9397-08002B2CF9AE}" pid="5" name="KSOProductBuildVer">
    <vt:lpwstr>2052-12.1.0.16417</vt:lpwstr>
  </property>
  <property fmtid="{D5CDD505-2E9C-101B-9397-08002B2CF9AE}" pid="6" name="ICV">
    <vt:lpwstr>6110B7415DC740C58185CD86345CBEB1</vt:lpwstr>
  </property>
  <property fmtid="{D5CDD505-2E9C-101B-9397-08002B2CF9AE}" pid="7" name="commondata">
    <vt:lpwstr>eyJoZGlkIjoiMTIwOGJlM2MwYTQ1ZjViODE0ZDU4ODIwMzJjNGNiY2IifQ==</vt:lpwstr>
  </property>
</Properties>
</file>