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 w:line="574" w:lineRule="exact"/>
        <w:ind w:left="120"/>
        <w:rPr>
          <w:rFonts w:ascii="宋体" w:hAnsi="宋体" w:eastAsia="宋体" w:cs="宋体"/>
          <w:sz w:val="32"/>
          <w:szCs w:val="32"/>
          <w:lang w:eastAsia="zh-CN"/>
        </w:rPr>
      </w:pPr>
      <w:r>
        <w:rPr>
          <w:rFonts w:hint="eastAsia" w:ascii="宋体" w:hAnsi="宋体" w:eastAsia="宋体" w:cs="宋体"/>
          <w:sz w:val="32"/>
          <w:szCs w:val="32"/>
          <w:lang w:eastAsia="zh-CN"/>
        </w:rPr>
        <w:t>附件7</w:t>
      </w:r>
    </w:p>
    <w:p>
      <w:pPr>
        <w:spacing w:before="2" w:line="574" w:lineRule="exact"/>
        <w:rPr>
          <w:rFonts w:ascii="宋体" w:hAnsi="宋体" w:eastAsia="宋体" w:cs="宋体"/>
          <w:sz w:val="27"/>
          <w:szCs w:val="27"/>
          <w:lang w:eastAsia="zh-CN"/>
        </w:rPr>
      </w:pPr>
    </w:p>
    <w:p>
      <w:pPr>
        <w:spacing w:line="574" w:lineRule="exact"/>
        <w:jc w:val="center"/>
        <w:rPr>
          <w:rFonts w:ascii="宋体" w:hAnsi="宋体" w:eastAsia="宋体" w:cs="宋体"/>
          <w:sz w:val="44"/>
          <w:szCs w:val="44"/>
          <w:lang w:eastAsia="zh-CN"/>
        </w:rPr>
      </w:pPr>
      <w:r>
        <w:rPr>
          <w:rFonts w:hint="eastAsia" w:ascii="宋体" w:hAnsi="宋体" w:eastAsia="宋体" w:cs="宋体"/>
          <w:sz w:val="44"/>
          <w:szCs w:val="44"/>
          <w:lang w:eastAsia="zh-CN"/>
        </w:rPr>
        <w:t>江苏省政府专项债券项目绩效自评价报告</w:t>
      </w:r>
    </w:p>
    <w:p>
      <w:pPr>
        <w:spacing w:line="574" w:lineRule="exact"/>
        <w:jc w:val="center"/>
        <w:rPr>
          <w:rFonts w:ascii="宋体" w:hAnsi="宋体" w:eastAsia="宋体" w:cs="宋体"/>
          <w:sz w:val="30"/>
          <w:szCs w:val="30"/>
          <w:lang w:eastAsia="zh-CN"/>
        </w:rPr>
      </w:pPr>
    </w:p>
    <w:p>
      <w:pPr>
        <w:spacing w:line="574" w:lineRule="exact"/>
        <w:ind w:firstLine="602" w:firstLineChars="200"/>
        <w:jc w:val="both"/>
        <w:rPr>
          <w:rFonts w:ascii="宋体" w:hAnsi="宋体" w:eastAsia="宋体" w:cs="宋体"/>
          <w:b/>
          <w:bCs/>
          <w:sz w:val="30"/>
          <w:szCs w:val="30"/>
          <w:lang w:eastAsia="zh-CN"/>
        </w:rPr>
      </w:pPr>
      <w:r>
        <w:rPr>
          <w:rFonts w:hint="eastAsia" w:ascii="宋体" w:hAnsi="宋体" w:eastAsia="宋体" w:cs="宋体"/>
          <w:b/>
          <w:bCs/>
          <w:sz w:val="30"/>
          <w:szCs w:val="30"/>
          <w:lang w:eastAsia="zh-CN"/>
        </w:rPr>
        <w:t>一、项目情况</w:t>
      </w:r>
    </w:p>
    <w:p>
      <w:pPr>
        <w:spacing w:line="574" w:lineRule="exact"/>
        <w:ind w:firstLine="584" w:firstLineChars="200"/>
        <w:jc w:val="both"/>
        <w:rPr>
          <w:rFonts w:ascii="宋体" w:hAnsi="宋体" w:eastAsia="宋体" w:cs="宋体"/>
          <w:spacing w:val="-4"/>
          <w:sz w:val="30"/>
          <w:szCs w:val="30"/>
          <w:lang w:eastAsia="zh-CN"/>
        </w:rPr>
      </w:pPr>
      <w:r>
        <w:rPr>
          <w:rFonts w:hint="eastAsia" w:ascii="宋体" w:hAnsi="宋体" w:eastAsia="宋体" w:cs="宋体"/>
          <w:spacing w:val="-4"/>
          <w:sz w:val="30"/>
          <w:szCs w:val="30"/>
          <w:lang w:eastAsia="zh-CN"/>
        </w:rPr>
        <w:t>（一）项目概况</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val="en-US" w:eastAsia="zh-CN"/>
        </w:rPr>
        <w:t>为了提高溧阳市现代化服务的质量、城市承载力，改善人民生活水平，实施溧阳市新建居住区水电气设施改造提升项目</w:t>
      </w:r>
      <w:r>
        <w:rPr>
          <w:rFonts w:hint="eastAsia" w:ascii="宋体" w:hAnsi="宋体" w:eastAsia="宋体" w:cs="宋体"/>
          <w:sz w:val="30"/>
          <w:szCs w:val="30"/>
          <w:lang w:eastAsia="zh-CN"/>
        </w:rPr>
        <w:t>。项目建设单位为溧阳市臻隆城市建设投资有限公司。</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根据溧阳市发展和改革委员会《关于溧阳市新建居住区水电气设施改造提升项目可行性研究报告的批复》（溧发改〔202</w:t>
      </w:r>
      <w:r>
        <w:rPr>
          <w:rFonts w:hint="eastAsia" w:ascii="宋体" w:hAnsi="宋体" w:eastAsia="宋体" w:cs="宋体"/>
          <w:sz w:val="30"/>
          <w:szCs w:val="30"/>
          <w:lang w:val="en-US" w:eastAsia="zh-CN"/>
        </w:rPr>
        <w:t>3</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20</w:t>
      </w:r>
      <w:r>
        <w:rPr>
          <w:rFonts w:hint="eastAsia" w:ascii="宋体" w:hAnsi="宋体" w:eastAsia="宋体" w:cs="宋体"/>
          <w:sz w:val="30"/>
          <w:szCs w:val="30"/>
          <w:lang w:eastAsia="zh-CN"/>
        </w:rPr>
        <w:t>号文），本项目建设地址位于溧阳市全市范围内，涉及锦绣观邸、都会星河、清安南村安置房等</w:t>
      </w:r>
      <w:r>
        <w:rPr>
          <w:rFonts w:hint="eastAsia" w:ascii="宋体" w:hAnsi="宋体" w:eastAsia="宋体" w:cs="宋体"/>
          <w:sz w:val="30"/>
          <w:szCs w:val="30"/>
          <w:lang w:val="en-US" w:eastAsia="zh-CN"/>
        </w:rPr>
        <w:t>20</w:t>
      </w:r>
      <w:r>
        <w:rPr>
          <w:rFonts w:hint="eastAsia" w:ascii="宋体" w:hAnsi="宋体" w:eastAsia="宋体" w:cs="宋体"/>
          <w:sz w:val="30"/>
          <w:szCs w:val="30"/>
          <w:lang w:eastAsia="zh-CN"/>
        </w:rPr>
        <w:t>个小区。管网主要涉及线路全长约</w:t>
      </w:r>
      <w:r>
        <w:rPr>
          <w:rFonts w:hint="eastAsia" w:ascii="宋体" w:hAnsi="宋体" w:eastAsia="宋体" w:cs="宋体"/>
          <w:sz w:val="30"/>
          <w:szCs w:val="30"/>
          <w:lang w:val="en-US" w:eastAsia="zh-CN"/>
        </w:rPr>
        <w:t>13.26</w:t>
      </w:r>
      <w:r>
        <w:rPr>
          <w:rFonts w:hint="eastAsia" w:ascii="宋体" w:hAnsi="宋体" w:eastAsia="宋体" w:cs="宋体"/>
          <w:sz w:val="30"/>
          <w:szCs w:val="30"/>
          <w:lang w:eastAsia="zh-CN"/>
        </w:rPr>
        <w:t>公里，主要建设内容建设区域内给水管道、供电管线、雨水管道、污水管道、燃气管道等基础设施改造升级。</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lang w:eastAsia="zh-CN"/>
        </w:rPr>
        <w:t>本项目估算总投资</w:t>
      </w:r>
      <w:r>
        <w:rPr>
          <w:rFonts w:hint="eastAsia" w:ascii="宋体" w:hAnsi="宋体" w:eastAsia="宋体" w:cs="宋体"/>
          <w:sz w:val="30"/>
          <w:szCs w:val="30"/>
          <w:lang w:val="en-US" w:eastAsia="zh-CN"/>
        </w:rPr>
        <w:t>15000</w:t>
      </w:r>
      <w:r>
        <w:rPr>
          <w:rFonts w:hint="eastAsia" w:ascii="宋体" w:hAnsi="宋体" w:eastAsia="宋体" w:cs="宋体"/>
          <w:sz w:val="30"/>
          <w:szCs w:val="30"/>
          <w:lang w:eastAsia="zh-CN"/>
        </w:rPr>
        <w:t>万元，建设单位自筹资金</w:t>
      </w:r>
      <w:r>
        <w:rPr>
          <w:rFonts w:hint="eastAsia" w:ascii="宋体" w:hAnsi="宋体" w:eastAsia="宋体" w:cs="宋体"/>
          <w:sz w:val="30"/>
          <w:szCs w:val="30"/>
          <w:lang w:val="en-US" w:eastAsia="zh-CN"/>
        </w:rPr>
        <w:t>3000</w:t>
      </w:r>
      <w:r>
        <w:rPr>
          <w:rFonts w:hint="eastAsia" w:ascii="宋体" w:hAnsi="宋体" w:eastAsia="宋体" w:cs="宋体"/>
          <w:sz w:val="30"/>
          <w:szCs w:val="30"/>
          <w:lang w:eastAsia="zh-CN"/>
        </w:rPr>
        <w:t>万元，申请地方政府专项债券资金</w:t>
      </w:r>
      <w:r>
        <w:rPr>
          <w:rFonts w:hint="eastAsia" w:ascii="宋体" w:hAnsi="宋体" w:eastAsia="宋体" w:cs="宋体"/>
          <w:sz w:val="30"/>
          <w:szCs w:val="30"/>
          <w:lang w:val="en-US" w:eastAsia="zh-CN"/>
        </w:rPr>
        <w:t>12000</w:t>
      </w:r>
      <w:r>
        <w:rPr>
          <w:rFonts w:hint="eastAsia" w:ascii="宋体" w:hAnsi="宋体" w:eastAsia="宋体" w:cs="宋体"/>
          <w:sz w:val="30"/>
          <w:szCs w:val="30"/>
          <w:lang w:eastAsia="zh-CN"/>
        </w:rPr>
        <w:t>万元，202</w:t>
      </w:r>
      <w:r>
        <w:rPr>
          <w:rFonts w:hint="eastAsia" w:ascii="宋体" w:hAnsi="宋体" w:eastAsia="宋体" w:cs="宋体"/>
          <w:sz w:val="30"/>
          <w:szCs w:val="30"/>
          <w:lang w:val="en-US" w:eastAsia="zh-CN"/>
        </w:rPr>
        <w:t>3</w:t>
      </w:r>
      <w:r>
        <w:rPr>
          <w:rFonts w:hint="eastAsia" w:ascii="宋体" w:hAnsi="宋体" w:eastAsia="宋体" w:cs="宋体"/>
          <w:sz w:val="30"/>
          <w:szCs w:val="30"/>
          <w:lang w:eastAsia="zh-CN"/>
        </w:rPr>
        <w:t>年发行债</w:t>
      </w:r>
      <w:r>
        <w:rPr>
          <w:rFonts w:hint="eastAsia" w:ascii="宋体" w:hAnsi="宋体" w:eastAsia="宋体" w:cs="宋体"/>
          <w:sz w:val="30"/>
          <w:szCs w:val="30"/>
          <w:highlight w:val="none"/>
          <w:lang w:eastAsia="zh-CN"/>
        </w:rPr>
        <w:t>券</w:t>
      </w:r>
      <w:r>
        <w:rPr>
          <w:rFonts w:hint="eastAsia" w:ascii="宋体" w:hAnsi="宋体" w:eastAsia="宋体" w:cs="宋体"/>
          <w:sz w:val="30"/>
          <w:szCs w:val="30"/>
          <w:highlight w:val="none"/>
          <w:lang w:val="en-US" w:eastAsia="zh-CN"/>
        </w:rPr>
        <w:t>6000</w:t>
      </w:r>
      <w:r>
        <w:rPr>
          <w:rFonts w:hint="eastAsia" w:ascii="宋体" w:hAnsi="宋体" w:eastAsia="宋体" w:cs="宋体"/>
          <w:sz w:val="30"/>
          <w:szCs w:val="30"/>
          <w:highlight w:val="none"/>
          <w:lang w:eastAsia="zh-CN"/>
        </w:rPr>
        <w:t>万</w:t>
      </w:r>
      <w:r>
        <w:rPr>
          <w:rFonts w:hint="eastAsia" w:ascii="宋体" w:hAnsi="宋体" w:eastAsia="宋体" w:cs="宋体"/>
          <w:sz w:val="30"/>
          <w:szCs w:val="30"/>
          <w:lang w:eastAsia="zh-CN"/>
        </w:rPr>
        <w:t>元</w:t>
      </w:r>
      <w:r>
        <w:rPr>
          <w:rFonts w:hint="eastAsia" w:ascii="宋体" w:hAnsi="宋体" w:eastAsia="宋体" w:cs="宋体"/>
          <w:sz w:val="30"/>
          <w:szCs w:val="30"/>
          <w:highlight w:val="none"/>
          <w:lang w:eastAsia="zh-CN"/>
        </w:rPr>
        <w:t>。</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绩效目标</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1、项目绩效总体目标</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正确处理资源保护与开发的关系，加强生态环境保护和建设，坚持走可持续发展道路；并与城市建设、道路交通、环境保护等专项规划相衔接。</w:t>
      </w:r>
    </w:p>
    <w:p>
      <w:pPr>
        <w:numPr>
          <w:ilvl w:val="0"/>
          <w:numId w:val="2"/>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项目绩效阶段性目标</w:t>
      </w:r>
    </w:p>
    <w:p>
      <w:pPr>
        <w:numPr>
          <w:ilvl w:val="0"/>
          <w:numId w:val="0"/>
        </w:numPr>
        <w:spacing w:line="574" w:lineRule="exact"/>
        <w:ind w:left="598" w:leftChars="272" w:firstLine="0" w:firstLineChars="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目标1：完成项目可研报告编制及审批、明确列支项目。</w:t>
      </w:r>
    </w:p>
    <w:p>
      <w:pPr>
        <w:numPr>
          <w:ilvl w:val="0"/>
          <w:numId w:val="0"/>
        </w:numPr>
        <w:spacing w:line="574" w:lineRule="exact"/>
        <w:ind w:left="598" w:leftChars="272" w:firstLine="0" w:firstLineChars="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目标2：筹备落实项目资金。</w:t>
      </w:r>
    </w:p>
    <w:p>
      <w:pPr>
        <w:numPr>
          <w:ilvl w:val="0"/>
          <w:numId w:val="0"/>
        </w:numPr>
        <w:spacing w:line="574" w:lineRule="exact"/>
        <w:ind w:left="598" w:leftChars="272" w:firstLine="0" w:firstLineChars="0"/>
        <w:jc w:val="both"/>
        <w:rPr>
          <w:rFonts w:ascii="宋体" w:hAnsi="宋体" w:eastAsia="宋体" w:cs="宋体"/>
          <w:sz w:val="30"/>
          <w:szCs w:val="30"/>
          <w:lang w:eastAsia="zh-CN"/>
        </w:rPr>
      </w:pPr>
      <w:r>
        <w:rPr>
          <w:rFonts w:hint="eastAsia" w:ascii="宋体" w:hAnsi="宋体" w:eastAsia="宋体" w:cs="宋体"/>
          <w:sz w:val="30"/>
          <w:szCs w:val="30"/>
          <w:lang w:eastAsia="zh-CN"/>
        </w:rPr>
        <w:t>目标3：保障6个小区的水电气。</w:t>
      </w:r>
    </w:p>
    <w:p>
      <w:pPr>
        <w:spacing w:line="574" w:lineRule="exact"/>
        <w:ind w:firstLine="602" w:firstLineChars="200"/>
        <w:jc w:val="both"/>
        <w:rPr>
          <w:rFonts w:ascii="宋体" w:hAnsi="宋体" w:eastAsia="宋体" w:cs="宋体"/>
          <w:b/>
          <w:bCs/>
          <w:sz w:val="30"/>
          <w:szCs w:val="30"/>
          <w:lang w:eastAsia="zh-CN"/>
        </w:rPr>
      </w:pPr>
      <w:r>
        <w:rPr>
          <w:rFonts w:hint="eastAsia" w:ascii="宋体" w:hAnsi="宋体" w:eastAsia="宋体" w:cs="宋体"/>
          <w:b/>
          <w:bCs/>
          <w:sz w:val="30"/>
          <w:szCs w:val="30"/>
          <w:lang w:eastAsia="zh-CN"/>
        </w:rPr>
        <w:t>二、评价情况</w:t>
      </w:r>
    </w:p>
    <w:p>
      <w:pPr>
        <w:spacing w:line="574" w:lineRule="exact"/>
        <w:ind w:firstLine="584" w:firstLineChars="2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（一）项目特点分析。</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1、本项目勘察、设计、施工、监理以及重要设备、材料采购的招标方式需按照《中华人民共和国招标投标法》和《必须招标的工程项目规定》（国家发展改革委第 16 号令）的相关规定执行。项目建设资金按照规定用途使用，与中标后签订的合同相符。</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2、本项目需</w:t>
      </w:r>
      <w:r>
        <w:rPr>
          <w:rFonts w:ascii="宋体" w:hAnsi="宋体" w:eastAsia="宋体" w:cs="宋体"/>
          <w:sz w:val="30"/>
          <w:szCs w:val="30"/>
          <w:lang w:eastAsia="zh-CN"/>
        </w:rPr>
        <w:t>通过在线平台如实报送政府投资项目前期、开工建设、建设进度、竣工等基本信息。加强项目档案管理，将项目审批和实施过程中的有关文件、资料存档备查。</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3、本项目需按照批复的建设规模、建设内容等进行建设。如果已批准建设规模、建设内容需要作较大调整的，按规定办理变更手续。</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4、项目将严格遵循“估算控制概算、概算控制预算、预算控制决算”的原则。投资概算原则上不得超过经批准的可行性研究报告提出的投资估算的10%。</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根据《财政部关于印发&lt;地方政府专项债券项目资金绩效管理办法》的通知&gt;》(财预(2021)61 号文)，并结合上述项目特点，本次绩效评价主要反映项目过程、产出、</w:t>
      </w:r>
      <w:r>
        <w:rPr>
          <w:rFonts w:hint="eastAsia" w:ascii="宋体" w:hAnsi="宋体" w:eastAsia="宋体" w:cs="宋体"/>
          <w:sz w:val="30"/>
          <w:szCs w:val="30"/>
          <w:lang w:val="en-US" w:eastAsia="zh-CN"/>
        </w:rPr>
        <w:t>效益</w:t>
      </w:r>
      <w:r>
        <w:rPr>
          <w:rFonts w:hint="eastAsia" w:ascii="宋体" w:hAnsi="宋体" w:eastAsia="宋体" w:cs="宋体"/>
          <w:sz w:val="30"/>
          <w:szCs w:val="30"/>
          <w:lang w:eastAsia="zh-CN"/>
        </w:rPr>
        <w:t>和满意度情况，包括以下内容：</w:t>
      </w:r>
    </w:p>
    <w:p>
      <w:pPr>
        <w:numPr>
          <w:ilvl w:val="0"/>
          <w:numId w:val="3"/>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过程</w:t>
      </w:r>
      <w:r>
        <w:rPr>
          <w:rFonts w:ascii="宋体" w:hAnsi="宋体" w:eastAsia="宋体" w:cs="宋体"/>
          <w:sz w:val="30"/>
          <w:szCs w:val="30"/>
          <w:lang w:eastAsia="zh-CN"/>
        </w:rPr>
        <w:t>方面</w:t>
      </w:r>
    </w:p>
    <w:p>
      <w:pPr>
        <w:spacing w:line="574" w:lineRule="exact"/>
        <w:ind w:firstLine="600" w:firstLineChars="200"/>
        <w:jc w:val="both"/>
        <w:rPr>
          <w:rFonts w:ascii="宋体" w:hAnsi="宋体" w:eastAsia="宋体" w:cs="宋体"/>
          <w:sz w:val="30"/>
          <w:szCs w:val="30"/>
          <w:lang w:eastAsia="zh-CN"/>
        </w:rPr>
      </w:pPr>
      <w:r>
        <w:rPr>
          <w:rFonts w:ascii="宋体" w:hAnsi="宋体" w:eastAsia="宋体" w:cs="宋体"/>
          <w:sz w:val="30"/>
          <w:szCs w:val="30"/>
          <w:lang w:eastAsia="zh-CN"/>
        </w:rPr>
        <w:t>项目符合专项债券支持领域和方向情况</w:t>
      </w:r>
      <w:r>
        <w:rPr>
          <w:rFonts w:hint="eastAsia" w:ascii="宋体" w:hAnsi="宋体" w:eastAsia="宋体" w:cs="宋体"/>
          <w:sz w:val="30"/>
          <w:szCs w:val="30"/>
          <w:lang w:eastAsia="zh-CN"/>
        </w:rPr>
        <w:t>；</w:t>
      </w:r>
      <w:r>
        <w:rPr>
          <w:rFonts w:ascii="宋体" w:hAnsi="宋体" w:eastAsia="宋体" w:cs="宋体"/>
          <w:sz w:val="30"/>
          <w:szCs w:val="30"/>
          <w:lang w:eastAsia="zh-CN"/>
        </w:rPr>
        <w:t>项目绩效目标设定情况</w:t>
      </w:r>
      <w:r>
        <w:rPr>
          <w:rFonts w:hint="eastAsia" w:ascii="宋体" w:hAnsi="宋体" w:eastAsia="宋体" w:cs="宋体"/>
          <w:sz w:val="30"/>
          <w:szCs w:val="30"/>
          <w:lang w:eastAsia="zh-CN"/>
        </w:rPr>
        <w:t>；</w:t>
      </w:r>
      <w:r>
        <w:rPr>
          <w:rFonts w:ascii="宋体" w:hAnsi="宋体" w:eastAsia="宋体" w:cs="宋体"/>
          <w:sz w:val="30"/>
          <w:szCs w:val="30"/>
          <w:lang w:eastAsia="zh-CN"/>
        </w:rPr>
        <w:t>项目申请专项债券额度与实际需要匹配情况等。</w:t>
      </w:r>
    </w:p>
    <w:p>
      <w:pPr>
        <w:numPr>
          <w:ilvl w:val="0"/>
          <w:numId w:val="3"/>
        </w:num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产出</w:t>
      </w:r>
      <w:r>
        <w:rPr>
          <w:rFonts w:ascii="宋体" w:hAnsi="宋体" w:eastAsia="宋体" w:cs="宋体"/>
          <w:sz w:val="30"/>
          <w:szCs w:val="30"/>
          <w:lang w:eastAsia="zh-CN"/>
        </w:rPr>
        <w:t>方面</w:t>
      </w:r>
    </w:p>
    <w:p>
      <w:pPr>
        <w:spacing w:line="574" w:lineRule="exact"/>
        <w:ind w:firstLine="600" w:firstLineChars="200"/>
        <w:jc w:val="both"/>
        <w:rPr>
          <w:rFonts w:hint="eastAsia" w:ascii="宋体" w:hAnsi="宋体" w:eastAsia="宋体" w:cs="宋体"/>
          <w:sz w:val="30"/>
          <w:szCs w:val="30"/>
          <w:lang w:eastAsia="zh-CN"/>
        </w:rPr>
      </w:pPr>
      <w:r>
        <w:rPr>
          <w:rFonts w:ascii="宋体" w:hAnsi="宋体" w:eastAsia="宋体" w:cs="宋体"/>
          <w:sz w:val="30"/>
          <w:szCs w:val="30"/>
          <w:lang w:eastAsia="zh-CN"/>
        </w:rPr>
        <w:t>债券资金按规定用途使用情况</w:t>
      </w:r>
      <w:r>
        <w:rPr>
          <w:rFonts w:hint="eastAsia" w:ascii="宋体" w:hAnsi="宋体" w:eastAsia="宋体" w:cs="宋体"/>
          <w:sz w:val="30"/>
          <w:szCs w:val="30"/>
          <w:lang w:eastAsia="zh-CN"/>
        </w:rPr>
        <w:t>；</w:t>
      </w:r>
      <w:r>
        <w:rPr>
          <w:rFonts w:ascii="宋体" w:hAnsi="宋体" w:eastAsia="宋体" w:cs="宋体"/>
          <w:sz w:val="30"/>
          <w:szCs w:val="30"/>
          <w:lang w:eastAsia="zh-CN"/>
        </w:rPr>
        <w:t>资金拨付和支出进度与项目建设进度匹配情况</w:t>
      </w:r>
      <w:r>
        <w:rPr>
          <w:rFonts w:hint="eastAsia" w:ascii="宋体" w:hAnsi="宋体" w:eastAsia="宋体" w:cs="宋体"/>
          <w:sz w:val="30"/>
          <w:szCs w:val="30"/>
          <w:lang w:eastAsia="zh-CN"/>
        </w:rPr>
        <w:t>；</w:t>
      </w:r>
      <w:r>
        <w:rPr>
          <w:rFonts w:ascii="宋体" w:hAnsi="宋体" w:eastAsia="宋体" w:cs="宋体"/>
          <w:sz w:val="30"/>
          <w:szCs w:val="30"/>
          <w:lang w:eastAsia="zh-CN"/>
        </w:rPr>
        <w:t>专项债券项目信息公开情况</w:t>
      </w:r>
      <w:r>
        <w:rPr>
          <w:rFonts w:hint="eastAsia" w:ascii="宋体" w:hAnsi="宋体" w:eastAsia="宋体" w:cs="宋体"/>
          <w:sz w:val="30"/>
          <w:szCs w:val="30"/>
          <w:lang w:eastAsia="zh-CN"/>
        </w:rPr>
        <w:t>；</w:t>
      </w:r>
      <w:r>
        <w:rPr>
          <w:rFonts w:ascii="宋体" w:hAnsi="宋体" w:eastAsia="宋体" w:cs="宋体"/>
          <w:sz w:val="30"/>
          <w:szCs w:val="30"/>
          <w:lang w:eastAsia="zh-CN"/>
        </w:rPr>
        <w:t>外部监督发现问题整改情况</w:t>
      </w:r>
      <w:r>
        <w:rPr>
          <w:rFonts w:hint="eastAsia" w:ascii="宋体" w:hAnsi="宋体" w:eastAsia="宋体" w:cs="宋体"/>
          <w:sz w:val="30"/>
          <w:szCs w:val="30"/>
          <w:lang w:eastAsia="zh-CN"/>
        </w:rPr>
        <w:t>；</w:t>
      </w:r>
      <w:r>
        <w:rPr>
          <w:rFonts w:ascii="宋体" w:hAnsi="宋体" w:eastAsia="宋体" w:cs="宋体"/>
          <w:sz w:val="30"/>
          <w:szCs w:val="30"/>
          <w:lang w:eastAsia="zh-CN"/>
        </w:rPr>
        <w:t>信息系统管理使用情况</w:t>
      </w:r>
      <w:r>
        <w:rPr>
          <w:rFonts w:hint="eastAsia" w:ascii="宋体" w:hAnsi="宋体" w:eastAsia="宋体" w:cs="宋体"/>
          <w:sz w:val="30"/>
          <w:szCs w:val="30"/>
          <w:lang w:eastAsia="zh-CN"/>
        </w:rPr>
        <w:t>等；</w:t>
      </w:r>
      <w:r>
        <w:rPr>
          <w:rFonts w:ascii="宋体" w:hAnsi="宋体" w:eastAsia="宋体" w:cs="宋体"/>
          <w:sz w:val="30"/>
          <w:szCs w:val="30"/>
          <w:lang w:eastAsia="zh-CN"/>
        </w:rPr>
        <w:t>项目建设质量达标情况</w:t>
      </w:r>
      <w:r>
        <w:rPr>
          <w:rFonts w:hint="eastAsia" w:ascii="宋体" w:hAnsi="宋体" w:eastAsia="宋体" w:cs="宋体"/>
          <w:sz w:val="30"/>
          <w:szCs w:val="30"/>
          <w:lang w:eastAsia="zh-CN"/>
        </w:rPr>
        <w:t>；</w:t>
      </w:r>
      <w:r>
        <w:rPr>
          <w:rFonts w:ascii="宋体" w:hAnsi="宋体" w:eastAsia="宋体" w:cs="宋体"/>
          <w:sz w:val="30"/>
          <w:szCs w:val="30"/>
          <w:lang w:eastAsia="zh-CN"/>
        </w:rPr>
        <w:t>项目建设进度情况</w:t>
      </w:r>
      <w:r>
        <w:rPr>
          <w:rFonts w:hint="eastAsia" w:ascii="宋体" w:hAnsi="宋体" w:eastAsia="宋体" w:cs="宋体"/>
          <w:sz w:val="30"/>
          <w:szCs w:val="30"/>
          <w:lang w:eastAsia="zh-CN"/>
        </w:rPr>
        <w:t>；</w:t>
      </w:r>
      <w:r>
        <w:rPr>
          <w:rFonts w:ascii="宋体" w:hAnsi="宋体" w:eastAsia="宋体" w:cs="宋体"/>
          <w:sz w:val="30"/>
          <w:szCs w:val="30"/>
          <w:lang w:eastAsia="zh-CN"/>
        </w:rPr>
        <w:t>项目建设成本情况</w:t>
      </w:r>
      <w:r>
        <w:rPr>
          <w:rFonts w:hint="eastAsia" w:ascii="宋体" w:hAnsi="宋体" w:eastAsia="宋体" w:cs="宋体"/>
          <w:sz w:val="30"/>
          <w:szCs w:val="30"/>
          <w:lang w:eastAsia="zh-CN"/>
        </w:rPr>
        <w:t>等。</w:t>
      </w:r>
    </w:p>
    <w:p>
      <w:pPr>
        <w:numPr>
          <w:ilvl w:val="0"/>
          <w:numId w:val="3"/>
        </w:numPr>
        <w:spacing w:line="574" w:lineRule="exact"/>
        <w:ind w:left="0" w:leftChars="0" w:firstLine="600" w:firstLineChars="200"/>
        <w:jc w:val="both"/>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项目效益</w:t>
      </w:r>
    </w:p>
    <w:p>
      <w:pPr>
        <w:numPr>
          <w:ilvl w:val="0"/>
          <w:numId w:val="0"/>
        </w:numPr>
        <w:spacing w:line="574" w:lineRule="exact"/>
        <w:ind w:leftChars="200"/>
        <w:jc w:val="both"/>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 xml:space="preserve"> 项目</w:t>
      </w:r>
      <w:r>
        <w:rPr>
          <w:rFonts w:hint="eastAsia" w:ascii="宋体" w:hAnsi="宋体" w:eastAsia="宋体" w:cs="宋体"/>
          <w:sz w:val="30"/>
          <w:szCs w:val="30"/>
          <w:highlight w:val="none"/>
          <w:lang w:val="en-US" w:eastAsia="zh-CN"/>
        </w:rPr>
        <w:t>经济效益、</w:t>
      </w:r>
      <w:r>
        <w:rPr>
          <w:rFonts w:hint="eastAsia" w:ascii="宋体" w:hAnsi="宋体" w:eastAsia="宋体" w:cs="宋体"/>
          <w:sz w:val="30"/>
          <w:szCs w:val="30"/>
          <w:highlight w:val="none"/>
          <w:lang w:eastAsia="zh-CN"/>
        </w:rPr>
        <w:t>社会效益、</w:t>
      </w:r>
      <w:r>
        <w:rPr>
          <w:rFonts w:hint="eastAsia" w:ascii="宋体" w:hAnsi="宋体" w:eastAsia="宋体" w:cs="宋体"/>
          <w:sz w:val="30"/>
          <w:szCs w:val="30"/>
          <w:highlight w:val="none"/>
          <w:lang w:val="en-US" w:eastAsia="zh-CN"/>
        </w:rPr>
        <w:t>生态效益等。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val="en-US" w:eastAsia="zh-CN"/>
        </w:rPr>
        <w:t>4</w:t>
      </w:r>
      <w:r>
        <w:rPr>
          <w:rFonts w:hint="eastAsia" w:ascii="宋体" w:hAnsi="宋体" w:eastAsia="宋体" w:cs="宋体"/>
          <w:sz w:val="30"/>
          <w:szCs w:val="30"/>
          <w:lang w:eastAsia="zh-CN"/>
        </w:rPr>
        <w:t>、满意度方面</w:t>
      </w:r>
    </w:p>
    <w:p>
      <w:pPr>
        <w:spacing w:line="574" w:lineRule="exact"/>
        <w:ind w:firstLine="600" w:firstLineChars="200"/>
        <w:jc w:val="both"/>
        <w:rPr>
          <w:rFonts w:ascii="宋体" w:hAnsi="宋体" w:eastAsia="宋体" w:cs="宋体"/>
          <w:sz w:val="30"/>
          <w:szCs w:val="30"/>
          <w:lang w:eastAsia="zh-CN"/>
        </w:rPr>
      </w:pPr>
      <w:r>
        <w:rPr>
          <w:rFonts w:ascii="宋体" w:hAnsi="宋体" w:eastAsia="宋体" w:cs="宋体"/>
          <w:sz w:val="30"/>
          <w:szCs w:val="30"/>
          <w:lang w:eastAsia="zh-CN"/>
        </w:rPr>
        <w:t>项目满意程度等。</w:t>
      </w:r>
    </w:p>
    <w:p>
      <w:pPr>
        <w:spacing w:line="574" w:lineRule="exact"/>
        <w:ind w:firstLine="584" w:firstLineChars="2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（二）评价思路方法</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根据《财政部关于印发&lt;地方政府专项债券项目资金绩效管理办法》的通知&gt;》(财预(2021)61 号文)、《项目支出绩效评价管理办法》（财预（2020）10号文），</w:t>
      </w:r>
      <w:r>
        <w:rPr>
          <w:rFonts w:hint="eastAsia" w:ascii="宋体" w:hAnsi="宋体" w:eastAsia="宋体" w:cs="宋体"/>
          <w:spacing w:val="-4"/>
          <w:sz w:val="30"/>
          <w:szCs w:val="30"/>
          <w:lang w:eastAsia="zh-CN"/>
        </w:rPr>
        <w:t>确定专项债券项目绩效自评</w:t>
      </w:r>
      <w:r>
        <w:rPr>
          <w:rFonts w:hint="eastAsia" w:ascii="宋体" w:hAnsi="宋体" w:eastAsia="宋体" w:cs="宋体"/>
          <w:sz w:val="30"/>
          <w:szCs w:val="30"/>
          <w:lang w:eastAsia="zh-CN"/>
        </w:rPr>
        <w:t>价的原则、方法、标准等。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1、绩效评价原则</w:t>
      </w:r>
    </w:p>
    <w:p>
      <w:p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应当遵循以下基本原则：（1）科学公正。绩效评价应当运用科学合理的方法，按照规范的程序，对项目绩效进行客观、公正的反映。（2）统筹兼顾。单位自评由项目单位自主实施，即“谁支出、谁自评”。（3）激励约束。绩效评价结果应与预算安排、政策调整、改进管理实质性挂钩，体现奖优罚劣和激励相容导向，有效要安排、低效要压减、无效要问责。（4）公开透明。绩效评价结果应依法依规公开，并自觉接受社会监督。</w:t>
      </w:r>
    </w:p>
    <w:p>
      <w:pPr>
        <w:spacing w:line="574" w:lineRule="exact"/>
        <w:ind w:left="440" w:leftChars="200" w:firstLine="300" w:firstLineChars="100"/>
        <w:jc w:val="both"/>
        <w:rPr>
          <w:rFonts w:ascii="宋体" w:hAnsi="宋体" w:eastAsia="宋体" w:cs="宋体"/>
          <w:sz w:val="30"/>
          <w:szCs w:val="30"/>
          <w:lang w:eastAsia="zh-CN"/>
        </w:rPr>
      </w:pPr>
      <w:r>
        <w:rPr>
          <w:rFonts w:hint="eastAsia" w:ascii="宋体" w:hAnsi="宋体" w:eastAsia="宋体" w:cs="宋体"/>
          <w:sz w:val="30"/>
          <w:szCs w:val="30"/>
          <w:lang w:eastAsia="zh-CN"/>
        </w:rPr>
        <w:t>2、</w:t>
      </w:r>
      <w:r>
        <w:rPr>
          <w:rFonts w:ascii="宋体" w:hAnsi="宋体" w:eastAsia="宋体" w:cs="宋体"/>
          <w:sz w:val="30"/>
          <w:szCs w:val="30"/>
          <w:lang w:eastAsia="zh-CN"/>
        </w:rPr>
        <w:t>绩效评价标准</w:t>
      </w:r>
    </w:p>
    <w:p>
      <w:pPr>
        <w:spacing w:line="574" w:lineRule="exact"/>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    绩效评价标准通常包括计划标准、行业标准等，用于对绩效指标完成情况进行比较。（1）计划标准。指以预先制定的目标、计划、预算、定额等作为评价标准。（2）行业标准。指参照国家公布的行业指标数据制定的评价标准。</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3、绩效评价方法</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采用定量与定性评价相结合的比较法，总分由各项指标得分汇总形成。</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定量指标得分按照以下方法评定：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定性指标得分按照以下方法评定：根据指标完成情况分为达成年度指标、部分达成年度指标并具有一定效果、未达成年度指标且效果较差三档，合理确定分值。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根据财预（2021）61号文，</w:t>
      </w:r>
      <w:r>
        <w:rPr>
          <w:rFonts w:ascii="宋体" w:hAnsi="宋体" w:eastAsia="宋体" w:cs="宋体"/>
          <w:sz w:val="30"/>
          <w:szCs w:val="30"/>
          <w:lang w:eastAsia="zh-CN"/>
        </w:rPr>
        <w:t>绩效评价</w:t>
      </w:r>
      <w:r>
        <w:rPr>
          <w:rFonts w:hint="eastAsia" w:ascii="宋体" w:hAnsi="宋体" w:eastAsia="宋体" w:cs="宋体"/>
          <w:sz w:val="30"/>
          <w:szCs w:val="30"/>
          <w:lang w:eastAsia="zh-CN"/>
        </w:rPr>
        <w:t>最终</w:t>
      </w:r>
      <w:r>
        <w:rPr>
          <w:rFonts w:ascii="宋体" w:hAnsi="宋体" w:eastAsia="宋体" w:cs="宋体"/>
          <w:sz w:val="30"/>
          <w:szCs w:val="30"/>
          <w:lang w:eastAsia="zh-CN"/>
        </w:rPr>
        <w:t>结果按照综合评分进行分级</w:t>
      </w:r>
      <w:r>
        <w:rPr>
          <w:rFonts w:hint="eastAsia" w:ascii="宋体" w:hAnsi="宋体" w:eastAsia="宋体" w:cs="宋体"/>
          <w:sz w:val="30"/>
          <w:szCs w:val="30"/>
          <w:lang w:eastAsia="zh-CN"/>
        </w:rPr>
        <w:t>。</w:t>
      </w:r>
      <w:r>
        <w:rPr>
          <w:rFonts w:ascii="宋体" w:hAnsi="宋体" w:eastAsia="宋体" w:cs="宋体"/>
          <w:sz w:val="30"/>
          <w:szCs w:val="30"/>
          <w:lang w:eastAsia="zh-CN"/>
        </w:rPr>
        <w:t>综合评分为90分(含)以上的为</w:t>
      </w:r>
      <w:r>
        <w:rPr>
          <w:rFonts w:hint="eastAsia" w:ascii="宋体" w:hAnsi="宋体" w:eastAsia="宋体" w:cs="宋体"/>
          <w:sz w:val="30"/>
          <w:szCs w:val="30"/>
          <w:lang w:eastAsia="zh-CN"/>
        </w:rPr>
        <w:t>“</w:t>
      </w:r>
      <w:r>
        <w:rPr>
          <w:rFonts w:ascii="宋体" w:hAnsi="宋体" w:eastAsia="宋体" w:cs="宋体"/>
          <w:sz w:val="30"/>
          <w:szCs w:val="30"/>
          <w:lang w:eastAsia="zh-CN"/>
        </w:rPr>
        <w:t>优</w:t>
      </w:r>
      <w:r>
        <w:rPr>
          <w:rFonts w:hint="eastAsia" w:ascii="宋体" w:hAnsi="宋体" w:eastAsia="宋体" w:cs="宋体"/>
          <w:sz w:val="30"/>
          <w:szCs w:val="30"/>
          <w:lang w:eastAsia="zh-CN"/>
        </w:rPr>
        <w:t>”</w:t>
      </w:r>
      <w:r>
        <w:rPr>
          <w:rFonts w:ascii="宋体" w:hAnsi="宋体" w:eastAsia="宋体" w:cs="宋体"/>
          <w:sz w:val="30"/>
          <w:szCs w:val="30"/>
          <w:lang w:eastAsia="zh-CN"/>
        </w:rPr>
        <w:t>,80分(含)至90分的为</w:t>
      </w:r>
      <w:r>
        <w:rPr>
          <w:rFonts w:hint="eastAsia" w:ascii="宋体" w:hAnsi="宋体" w:eastAsia="宋体" w:cs="宋体"/>
          <w:sz w:val="30"/>
          <w:szCs w:val="30"/>
          <w:lang w:eastAsia="zh-CN"/>
        </w:rPr>
        <w:t>“</w:t>
      </w:r>
      <w:r>
        <w:rPr>
          <w:rFonts w:ascii="宋体" w:hAnsi="宋体" w:eastAsia="宋体" w:cs="宋体"/>
          <w:sz w:val="30"/>
          <w:szCs w:val="30"/>
          <w:lang w:eastAsia="zh-CN"/>
        </w:rPr>
        <w:t>良</w:t>
      </w:r>
      <w:r>
        <w:rPr>
          <w:rFonts w:hint="eastAsia" w:ascii="宋体" w:hAnsi="宋体" w:eastAsia="宋体" w:cs="宋体"/>
          <w:sz w:val="30"/>
          <w:szCs w:val="30"/>
          <w:lang w:eastAsia="zh-CN"/>
        </w:rPr>
        <w:t>”</w:t>
      </w:r>
      <w:r>
        <w:rPr>
          <w:rFonts w:ascii="宋体" w:hAnsi="宋体" w:eastAsia="宋体" w:cs="宋体"/>
          <w:sz w:val="30"/>
          <w:szCs w:val="30"/>
          <w:lang w:eastAsia="zh-CN"/>
        </w:rPr>
        <w:t>,60分(含)至80分的为</w:t>
      </w:r>
      <w:r>
        <w:rPr>
          <w:rFonts w:hint="eastAsia" w:ascii="宋体" w:hAnsi="宋体" w:eastAsia="宋体" w:cs="宋体"/>
          <w:sz w:val="30"/>
          <w:szCs w:val="30"/>
          <w:lang w:eastAsia="zh-CN"/>
        </w:rPr>
        <w:t>“</w:t>
      </w:r>
      <w:r>
        <w:rPr>
          <w:rFonts w:ascii="宋体" w:hAnsi="宋体" w:eastAsia="宋体" w:cs="宋体"/>
          <w:sz w:val="30"/>
          <w:szCs w:val="30"/>
          <w:lang w:eastAsia="zh-CN"/>
        </w:rPr>
        <w:t>中</w:t>
      </w:r>
      <w:r>
        <w:rPr>
          <w:rFonts w:hint="eastAsia" w:ascii="宋体" w:hAnsi="宋体" w:eastAsia="宋体" w:cs="宋体"/>
          <w:sz w:val="30"/>
          <w:szCs w:val="30"/>
          <w:lang w:eastAsia="zh-CN"/>
        </w:rPr>
        <w:t>”，</w:t>
      </w:r>
      <w:r>
        <w:rPr>
          <w:rFonts w:ascii="宋体" w:hAnsi="宋体" w:eastAsia="宋体" w:cs="宋体"/>
          <w:sz w:val="30"/>
          <w:szCs w:val="30"/>
          <w:lang w:eastAsia="zh-CN"/>
        </w:rPr>
        <w:t>60分以下的为</w:t>
      </w:r>
      <w:r>
        <w:rPr>
          <w:rFonts w:hint="eastAsia" w:ascii="宋体" w:hAnsi="宋体" w:eastAsia="宋体" w:cs="宋体"/>
          <w:sz w:val="30"/>
          <w:szCs w:val="30"/>
          <w:lang w:eastAsia="zh-CN"/>
        </w:rPr>
        <w:t>“</w:t>
      </w:r>
      <w:r>
        <w:rPr>
          <w:rFonts w:ascii="宋体" w:hAnsi="宋体" w:eastAsia="宋体" w:cs="宋体"/>
          <w:sz w:val="30"/>
          <w:szCs w:val="30"/>
          <w:lang w:eastAsia="zh-CN"/>
        </w:rPr>
        <w:t>差</w:t>
      </w:r>
      <w:r>
        <w:rPr>
          <w:rFonts w:hint="eastAsia" w:ascii="宋体" w:hAnsi="宋体" w:eastAsia="宋体" w:cs="宋体"/>
          <w:sz w:val="30"/>
          <w:szCs w:val="30"/>
          <w:lang w:eastAsia="zh-CN"/>
        </w:rPr>
        <w:t xml:space="preserve">”。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4、本项目绩效评价指标权重</w:t>
      </w:r>
    </w:p>
    <w:p>
      <w:pPr>
        <w:spacing w:line="574" w:lineRule="exact"/>
        <w:ind w:firstLine="600" w:firstLineChars="200"/>
        <w:jc w:val="both"/>
        <w:rPr>
          <w:rFonts w:hint="eastAsia" w:ascii="宋体" w:hAnsi="宋体" w:eastAsia="宋体" w:cs="宋体"/>
          <w:sz w:val="30"/>
          <w:szCs w:val="30"/>
          <w:lang w:eastAsia="zh-CN"/>
        </w:rPr>
      </w:pPr>
      <w:r>
        <w:rPr>
          <w:rFonts w:hint="eastAsia" w:ascii="宋体" w:hAnsi="宋体" w:eastAsia="宋体" w:cs="宋体"/>
          <w:sz w:val="30"/>
          <w:szCs w:val="30"/>
          <w:lang w:eastAsia="zh-CN"/>
        </w:rPr>
        <w:t>根据《项目支出绩效评价管理办法》（财预（2020）10号文），自评指标的权重根据项目实际情况确定。</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据此，结合本项目进度，绩效评价指标体系从项目过程、项目产出、</w:t>
      </w:r>
      <w:r>
        <w:rPr>
          <w:rFonts w:hint="eastAsia" w:ascii="宋体" w:hAnsi="宋体" w:eastAsia="宋体" w:cs="宋体"/>
          <w:sz w:val="30"/>
          <w:szCs w:val="30"/>
          <w:lang w:val="en-US" w:eastAsia="zh-CN"/>
        </w:rPr>
        <w:t>项目效益、</w:t>
      </w:r>
      <w:r>
        <w:rPr>
          <w:rFonts w:hint="eastAsia" w:ascii="宋体" w:hAnsi="宋体" w:eastAsia="宋体" w:cs="宋体"/>
          <w:sz w:val="30"/>
          <w:szCs w:val="30"/>
          <w:lang w:eastAsia="zh-CN"/>
        </w:rPr>
        <w:t>项目满意度</w:t>
      </w:r>
      <w:r>
        <w:rPr>
          <w:rFonts w:hint="eastAsia" w:ascii="宋体" w:hAnsi="宋体" w:eastAsia="宋体" w:cs="宋体"/>
          <w:sz w:val="30"/>
          <w:szCs w:val="30"/>
          <w:lang w:val="en-US" w:eastAsia="zh-CN"/>
        </w:rPr>
        <w:t>四</w:t>
      </w:r>
      <w:r>
        <w:rPr>
          <w:rFonts w:hint="eastAsia" w:ascii="宋体" w:hAnsi="宋体" w:eastAsia="宋体" w:cs="宋体"/>
          <w:sz w:val="30"/>
          <w:szCs w:val="30"/>
          <w:lang w:eastAsia="zh-CN"/>
        </w:rPr>
        <w:t>个方面进行构建。具体如下：</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（1）项目过程：由资金管理指标、组织实施指标构成。</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（2）项目产出：由数量指标、质量指标、时效指标、成本指标构成。</w:t>
      </w:r>
    </w:p>
    <w:p>
      <w:pPr>
        <w:spacing w:line="574" w:lineRule="exact"/>
        <w:ind w:firstLine="600" w:firstLineChars="200"/>
        <w:jc w:val="both"/>
        <w:rPr>
          <w:rFonts w:hint="eastAsia"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3</w:t>
      </w: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项目效益：</w:t>
      </w:r>
      <w:r>
        <w:rPr>
          <w:rFonts w:hint="eastAsia" w:ascii="宋体" w:hAnsi="宋体" w:eastAsia="宋体" w:cs="宋体"/>
          <w:sz w:val="30"/>
          <w:szCs w:val="30"/>
          <w:highlight w:val="none"/>
          <w:lang w:eastAsia="zh-CN"/>
        </w:rPr>
        <w:t>由</w:t>
      </w:r>
      <w:r>
        <w:rPr>
          <w:rFonts w:hint="eastAsia" w:ascii="宋体" w:hAnsi="宋体" w:eastAsia="宋体" w:cs="宋体"/>
          <w:sz w:val="30"/>
          <w:szCs w:val="30"/>
          <w:highlight w:val="none"/>
          <w:lang w:val="en-US" w:eastAsia="zh-CN"/>
        </w:rPr>
        <w:t>经济效益、</w:t>
      </w:r>
      <w:r>
        <w:rPr>
          <w:rFonts w:hint="eastAsia" w:ascii="宋体" w:hAnsi="宋体" w:eastAsia="宋体" w:cs="宋体"/>
          <w:sz w:val="30"/>
          <w:szCs w:val="30"/>
          <w:highlight w:val="none"/>
          <w:lang w:eastAsia="zh-CN"/>
        </w:rPr>
        <w:t>社会效益、</w:t>
      </w:r>
      <w:r>
        <w:rPr>
          <w:rFonts w:hint="eastAsia" w:ascii="宋体" w:hAnsi="宋体" w:eastAsia="宋体" w:cs="宋体"/>
          <w:sz w:val="30"/>
          <w:szCs w:val="30"/>
          <w:highlight w:val="none"/>
          <w:lang w:val="en-US" w:eastAsia="zh-CN"/>
        </w:rPr>
        <w:t>生态效益</w:t>
      </w:r>
      <w:r>
        <w:rPr>
          <w:rFonts w:hint="eastAsia" w:ascii="宋体" w:hAnsi="宋体" w:eastAsia="宋体" w:cs="宋体"/>
          <w:sz w:val="30"/>
          <w:szCs w:val="30"/>
          <w:highlight w:val="none"/>
          <w:lang w:eastAsia="zh-CN"/>
        </w:rPr>
        <w:t>指标构成。</w:t>
      </w:r>
    </w:p>
    <w:p>
      <w:pPr>
        <w:spacing w:line="574" w:lineRule="exact"/>
        <w:ind w:firstLine="600" w:firstLineChars="200"/>
        <w:jc w:val="both"/>
        <w:rPr>
          <w:rFonts w:ascii="宋体" w:hAnsi="宋体" w:eastAsia="宋体" w:cs="宋体"/>
          <w:sz w:val="30"/>
          <w:szCs w:val="30"/>
          <w:highlight w:val="none"/>
          <w:lang w:eastAsia="zh-CN"/>
        </w:rPr>
      </w:pPr>
      <w:r>
        <w:rPr>
          <w:rFonts w:hint="eastAsia" w:ascii="宋体" w:hAnsi="宋体" w:eastAsia="宋体" w:cs="宋体"/>
          <w:sz w:val="30"/>
          <w:szCs w:val="30"/>
          <w:highlight w:val="none"/>
          <w:lang w:eastAsia="zh-CN"/>
        </w:rPr>
        <w:t>（</w:t>
      </w:r>
      <w:r>
        <w:rPr>
          <w:rFonts w:hint="eastAsia" w:ascii="宋体" w:hAnsi="宋体" w:eastAsia="宋体" w:cs="宋体"/>
          <w:sz w:val="30"/>
          <w:szCs w:val="30"/>
          <w:highlight w:val="none"/>
          <w:lang w:val="en-US" w:eastAsia="zh-CN"/>
        </w:rPr>
        <w:t>4</w:t>
      </w:r>
      <w:r>
        <w:rPr>
          <w:rFonts w:hint="eastAsia" w:ascii="宋体" w:hAnsi="宋体" w:eastAsia="宋体" w:cs="宋体"/>
          <w:sz w:val="30"/>
          <w:szCs w:val="30"/>
          <w:highlight w:val="none"/>
          <w:lang w:eastAsia="zh-CN"/>
        </w:rPr>
        <w:t>）项目满意度：由</w:t>
      </w:r>
      <w:r>
        <w:rPr>
          <w:rFonts w:hint="eastAsia" w:ascii="宋体" w:hAnsi="宋体" w:eastAsia="宋体" w:cs="宋体"/>
          <w:sz w:val="30"/>
          <w:szCs w:val="30"/>
          <w:highlight w:val="none"/>
          <w:lang w:val="en-US" w:eastAsia="zh-CN"/>
        </w:rPr>
        <w:t>周边居民满意度</w:t>
      </w:r>
      <w:r>
        <w:rPr>
          <w:rFonts w:hint="eastAsia" w:ascii="宋体" w:hAnsi="宋体" w:eastAsia="宋体" w:cs="宋体"/>
          <w:sz w:val="30"/>
          <w:szCs w:val="30"/>
          <w:highlight w:val="none"/>
          <w:lang w:eastAsia="zh-CN"/>
        </w:rPr>
        <w:t>指标构成。</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pacing w:val="-4"/>
          <w:sz w:val="30"/>
          <w:szCs w:val="30"/>
          <w:lang w:eastAsia="zh-CN"/>
        </w:rPr>
        <w:t>评价工作情况。主要为项目情况核查和分析等方</w:t>
      </w:r>
      <w:r>
        <w:rPr>
          <w:rFonts w:hint="eastAsia" w:ascii="宋体" w:hAnsi="宋体" w:eastAsia="宋体" w:cs="宋体"/>
          <w:sz w:val="30"/>
          <w:szCs w:val="30"/>
          <w:lang w:eastAsia="zh-CN"/>
        </w:rPr>
        <w:t xml:space="preserve">面的情况。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1、前期准备阶段</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根据绩效评价工作要求，结合实施绩效评价项目的特点，绩效评价组通过向项目组收集相关资料，并对项目深入研究、反复研讨，针对项目的特性设计相关表格，进行统计、分析、核实，作为项目评价信息。</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2、实地考察</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为保证本次绩效评价结果的客观、公正、科学，本次绩效评价主要采用实地考察办法。评价小组进行实地考察、访问听取项目情况介绍，考察、了解项目开展、项目执行、项目管控、财务管理等情况，以获取绩效评价所需的基础资料。</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 xml:space="preserve">3、绩效分析阶段 </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绩效评价工作组通过收集资料、对照查证复核、数据分析等 工作程序，采用定性指标与定量指标结合、点面结合的方法，确保评价工作客观、公正。对自评表数据与佐证材料的相关数据进行了核实,对明显不合理的目标值,根据项目实际情况进行调整。进行绩效指标量化打分，经过汇总修正，得出最后评价结果。</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4、沟通反馈、报告撰写</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经过与现场项目组反复沟通、交换意见，评价组内部讨论和修改，完成自评价报告的撰写工作。</w:t>
      </w:r>
    </w:p>
    <w:p>
      <w:pPr>
        <w:numPr>
          <w:ilvl w:val="0"/>
          <w:numId w:val="1"/>
        </w:numPr>
        <w:spacing w:line="574" w:lineRule="exact"/>
        <w:ind w:firstLine="600"/>
        <w:jc w:val="both"/>
        <w:rPr>
          <w:rFonts w:ascii="宋体" w:hAnsi="宋体" w:eastAsia="宋体" w:cs="宋体"/>
          <w:sz w:val="30"/>
          <w:szCs w:val="30"/>
          <w:lang w:eastAsia="zh-CN"/>
        </w:rPr>
      </w:pPr>
      <w:r>
        <w:rPr>
          <w:rFonts w:hint="eastAsia" w:ascii="宋体" w:hAnsi="宋体" w:eastAsia="宋体" w:cs="宋体"/>
          <w:sz w:val="30"/>
          <w:szCs w:val="30"/>
          <w:lang w:eastAsia="zh-CN"/>
        </w:rPr>
        <w:t>绩效评价结论。绩效评价的评分及等级等。</w:t>
      </w:r>
    </w:p>
    <w:p>
      <w:pPr>
        <w:numPr>
          <w:ilvl w:val="0"/>
          <w:numId w:val="0"/>
        </w:numPr>
        <w:adjustRightInd w:val="0"/>
        <w:snapToGrid w:val="0"/>
        <w:spacing w:line="574" w:lineRule="exact"/>
        <w:ind w:firstLine="600" w:firstLineChars="200"/>
        <w:jc w:val="both"/>
        <w:rPr>
          <w:rFonts w:ascii="宋体" w:hAnsi="宋体" w:eastAsia="宋体" w:cs="宋体"/>
          <w:spacing w:val="-15"/>
          <w:sz w:val="30"/>
          <w:szCs w:val="30"/>
          <w:lang w:eastAsia="zh-CN"/>
        </w:rPr>
      </w:pPr>
      <w:r>
        <w:rPr>
          <w:rFonts w:hint="eastAsia" w:ascii="宋体" w:hAnsi="宋体" w:eastAsia="宋体" w:cs="宋体"/>
          <w:sz w:val="30"/>
          <w:szCs w:val="30"/>
          <w:lang w:eastAsia="zh-CN"/>
        </w:rPr>
        <w:t>1、</w:t>
      </w:r>
      <w:r>
        <w:rPr>
          <w:rFonts w:hint="eastAsia" w:ascii="宋体" w:hAnsi="宋体" w:eastAsia="宋体" w:cs="宋体"/>
          <w:spacing w:val="-15"/>
          <w:sz w:val="30"/>
          <w:szCs w:val="30"/>
          <w:lang w:eastAsia="zh-CN"/>
        </w:rPr>
        <w:t>项目过程</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项目过程指标分为资金管理、组织实施。资金管理从资金到位率、</w:t>
      </w:r>
      <w:r>
        <w:rPr>
          <w:rFonts w:hint="eastAsia" w:ascii="宋体" w:hAnsi="宋体" w:eastAsia="宋体" w:cs="宋体"/>
          <w:spacing w:val="-15"/>
          <w:sz w:val="30"/>
          <w:szCs w:val="30"/>
          <w:lang w:val="en-US" w:eastAsia="zh-CN"/>
        </w:rPr>
        <w:t>预算</w:t>
      </w:r>
      <w:r>
        <w:rPr>
          <w:rFonts w:hint="eastAsia" w:ascii="宋体" w:hAnsi="宋体" w:eastAsia="宋体" w:cs="宋体"/>
          <w:spacing w:val="-15"/>
          <w:sz w:val="30"/>
          <w:szCs w:val="30"/>
          <w:lang w:eastAsia="zh-CN"/>
        </w:rPr>
        <w:t>执行率、资金使用合规性</w:t>
      </w:r>
      <w:r>
        <w:rPr>
          <w:rFonts w:hint="eastAsia" w:ascii="宋体" w:hAnsi="宋体" w:eastAsia="宋体" w:cs="宋体"/>
          <w:spacing w:val="-15"/>
          <w:sz w:val="30"/>
          <w:szCs w:val="30"/>
          <w:lang w:val="en-US" w:eastAsia="zh-CN"/>
        </w:rPr>
        <w:t>三</w:t>
      </w:r>
      <w:r>
        <w:rPr>
          <w:rFonts w:hint="eastAsia" w:ascii="宋体" w:hAnsi="宋体" w:eastAsia="宋体" w:cs="宋体"/>
          <w:spacing w:val="-15"/>
          <w:sz w:val="30"/>
          <w:szCs w:val="30"/>
          <w:lang w:eastAsia="zh-CN"/>
        </w:rPr>
        <w:t>个方面评价资金收支和管理情况。组织实施从管理制度健全性、制度执行有效性两个方面评价工程管理制度及项目实施规范情况。</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）资金到位率</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项目于202</w:t>
      </w: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年申请地方政府专项债券资金</w:t>
      </w:r>
      <w:r>
        <w:rPr>
          <w:rFonts w:hint="eastAsia" w:ascii="宋体" w:hAnsi="宋体" w:eastAsia="宋体" w:cs="宋体"/>
          <w:spacing w:val="-15"/>
          <w:sz w:val="30"/>
          <w:szCs w:val="30"/>
          <w:lang w:val="en-US" w:eastAsia="zh-CN"/>
        </w:rPr>
        <w:t>0.6亿</w:t>
      </w:r>
      <w:r>
        <w:rPr>
          <w:rFonts w:hint="eastAsia" w:ascii="宋体" w:hAnsi="宋体" w:eastAsia="宋体" w:cs="宋体"/>
          <w:spacing w:val="-15"/>
          <w:sz w:val="30"/>
          <w:szCs w:val="30"/>
          <w:lang w:eastAsia="zh-CN"/>
        </w:rPr>
        <w:t>元，截止202</w:t>
      </w: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年12月资金实际到位</w:t>
      </w:r>
      <w:r>
        <w:rPr>
          <w:rFonts w:hint="eastAsia" w:ascii="宋体" w:hAnsi="宋体" w:eastAsia="宋体" w:cs="宋体"/>
          <w:spacing w:val="-15"/>
          <w:sz w:val="30"/>
          <w:szCs w:val="30"/>
          <w:lang w:val="en-US" w:eastAsia="zh-CN"/>
        </w:rPr>
        <w:t>0.6亿</w:t>
      </w:r>
      <w:r>
        <w:rPr>
          <w:rFonts w:hint="eastAsia" w:ascii="宋体" w:hAnsi="宋体" w:eastAsia="宋体" w:cs="宋体"/>
          <w:spacing w:val="-15"/>
          <w:sz w:val="30"/>
          <w:szCs w:val="30"/>
          <w:lang w:eastAsia="zh-CN"/>
        </w:rPr>
        <w:t>元，资金到位率</w:t>
      </w:r>
      <w:r>
        <w:rPr>
          <w:rFonts w:hint="eastAsia" w:ascii="宋体" w:hAnsi="宋体" w:eastAsia="宋体" w:cs="宋体"/>
          <w:spacing w:val="-15"/>
          <w:sz w:val="30"/>
          <w:szCs w:val="30"/>
          <w:lang w:val="en-US" w:eastAsia="zh-CN"/>
        </w:rPr>
        <w:t>100</w:t>
      </w:r>
      <w:r>
        <w:rPr>
          <w:rFonts w:hint="eastAsia" w:ascii="宋体" w:hAnsi="宋体" w:eastAsia="宋体" w:cs="宋体"/>
          <w:spacing w:val="-15"/>
          <w:sz w:val="30"/>
          <w:szCs w:val="30"/>
          <w:lang w:eastAsia="zh-CN"/>
        </w:rPr>
        <w:t>%。</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预算</w:t>
      </w:r>
      <w:r>
        <w:rPr>
          <w:rFonts w:hint="eastAsia" w:ascii="宋体" w:hAnsi="宋体" w:eastAsia="宋体" w:cs="宋体"/>
          <w:spacing w:val="-15"/>
          <w:sz w:val="30"/>
          <w:szCs w:val="30"/>
          <w:lang w:eastAsia="zh-CN"/>
        </w:rPr>
        <w:t>执行率</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专项债券资金支出</w:t>
      </w:r>
      <w:r>
        <w:rPr>
          <w:rFonts w:hint="eastAsia" w:ascii="宋体" w:hAnsi="宋体" w:eastAsia="宋体" w:cs="宋体"/>
          <w:spacing w:val="-15"/>
          <w:sz w:val="30"/>
          <w:szCs w:val="30"/>
          <w:lang w:val="en-US" w:eastAsia="zh-CN"/>
        </w:rPr>
        <w:t>0.6亿</w:t>
      </w:r>
      <w:r>
        <w:rPr>
          <w:rFonts w:hint="eastAsia" w:ascii="宋体" w:hAnsi="宋体" w:eastAsia="宋体" w:cs="宋体"/>
          <w:spacing w:val="-15"/>
          <w:sz w:val="30"/>
          <w:szCs w:val="30"/>
          <w:lang w:eastAsia="zh-CN"/>
        </w:rPr>
        <w:t>元，</w:t>
      </w:r>
      <w:r>
        <w:rPr>
          <w:rFonts w:hint="eastAsia" w:ascii="宋体" w:hAnsi="宋体" w:eastAsia="宋体" w:cs="宋体"/>
          <w:spacing w:val="-15"/>
          <w:sz w:val="30"/>
          <w:szCs w:val="30"/>
          <w:lang w:val="en-US" w:eastAsia="zh-CN"/>
        </w:rPr>
        <w:t>预算执行率为100%</w:t>
      </w:r>
      <w:r>
        <w:rPr>
          <w:rFonts w:hint="eastAsia" w:ascii="宋体" w:hAnsi="宋体" w:eastAsia="宋体" w:cs="宋体"/>
          <w:spacing w:val="-15"/>
          <w:sz w:val="30"/>
          <w:szCs w:val="30"/>
          <w:lang w:eastAsia="zh-CN"/>
        </w:rPr>
        <w:t>。</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资金使用合规性</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项目的资金使用符合国家财经法规和财务管理制度，不存在截留、挤占、挪用、虚列支出等情况。  </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（4）</w:t>
      </w:r>
      <w:r>
        <w:rPr>
          <w:rFonts w:hint="eastAsia" w:ascii="宋体" w:hAnsi="宋体" w:eastAsia="宋体" w:cs="宋体"/>
          <w:spacing w:val="-15"/>
          <w:sz w:val="30"/>
          <w:szCs w:val="30"/>
          <w:lang w:eastAsia="zh-CN"/>
        </w:rPr>
        <w:t>管理制度健全性</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作为项目执行单位，具体负责项目实施过程中的建设管理，包括指定专人负责建设项目前期审批手续的办理；进行施工等单位的招投标遴</w:t>
      </w:r>
      <w:bookmarkStart w:id="4" w:name="_GoBack"/>
      <w:bookmarkEnd w:id="4"/>
      <w:r>
        <w:rPr>
          <w:rFonts w:hint="eastAsia" w:ascii="宋体" w:hAnsi="宋体" w:eastAsia="宋体" w:cs="宋体"/>
          <w:spacing w:val="-15"/>
          <w:sz w:val="30"/>
          <w:szCs w:val="30"/>
          <w:lang w:eastAsia="zh-CN"/>
        </w:rPr>
        <w:t>选；组织施工单位按进度进行施工，并对工程建设质量、进度、安全、成本进行跟踪监督。</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（5）</w:t>
      </w:r>
      <w:r>
        <w:rPr>
          <w:rFonts w:hint="eastAsia" w:ascii="宋体" w:hAnsi="宋体" w:eastAsia="宋体" w:cs="宋体"/>
          <w:spacing w:val="-15"/>
          <w:sz w:val="30"/>
          <w:szCs w:val="30"/>
          <w:lang w:eastAsia="zh-CN"/>
        </w:rPr>
        <w:t>制度执行有效性</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开工前按照规定办理施工许可等手续。严格执行工程发包承包法规制度，依法开展招标活动，依法与参建单位订立书面合同，明确双方权利和义务。</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建设</w:t>
      </w:r>
      <w:r>
        <w:rPr>
          <w:rFonts w:hint="eastAsia" w:ascii="宋体" w:hAnsi="宋体" w:eastAsia="宋体" w:cs="宋体"/>
          <w:spacing w:val="-15"/>
          <w:sz w:val="30"/>
          <w:szCs w:val="30"/>
          <w:highlight w:val="none"/>
          <w:lang w:val="en-US" w:eastAsia="zh-CN"/>
        </w:rPr>
        <w:t>单位</w:t>
      </w:r>
      <w:r>
        <w:rPr>
          <w:rFonts w:hint="eastAsia" w:ascii="宋体" w:hAnsi="宋体" w:eastAsia="宋体" w:cs="宋体"/>
          <w:spacing w:val="-15"/>
          <w:sz w:val="30"/>
          <w:szCs w:val="30"/>
          <w:highlight w:val="none"/>
          <w:lang w:eastAsia="zh-CN"/>
        </w:rPr>
        <w:t>组织设计单位、施工单位、监理单位，召开技术图纸交底会议。会议</w:t>
      </w:r>
      <w:r>
        <w:rPr>
          <w:rFonts w:hint="eastAsia" w:ascii="宋体" w:hAnsi="宋体" w:eastAsia="宋体" w:cs="宋体"/>
          <w:spacing w:val="-15"/>
          <w:sz w:val="30"/>
          <w:szCs w:val="30"/>
          <w:highlight w:val="none"/>
          <w:lang w:val="en-US" w:eastAsia="zh-CN"/>
        </w:rPr>
        <w:t>由</w:t>
      </w:r>
      <w:r>
        <w:rPr>
          <w:rFonts w:hint="eastAsia" w:ascii="宋体" w:hAnsi="宋体" w:eastAsia="宋体" w:cs="宋体"/>
          <w:spacing w:val="-15"/>
          <w:sz w:val="30"/>
          <w:szCs w:val="30"/>
          <w:highlight w:val="none"/>
          <w:lang w:eastAsia="zh-CN"/>
        </w:rPr>
        <w:t>项目建设单位分管负责人主持，并对项目的安全施工、技术质量、施工进度等作了相关要求和</w:t>
      </w:r>
      <w:r>
        <w:rPr>
          <w:rFonts w:hint="eastAsia" w:ascii="宋体" w:hAnsi="宋体" w:eastAsia="宋体" w:cs="宋体"/>
          <w:spacing w:val="-15"/>
          <w:sz w:val="30"/>
          <w:szCs w:val="30"/>
          <w:highlight w:val="none"/>
          <w:lang w:val="en-US" w:eastAsia="zh-CN"/>
        </w:rPr>
        <w:t>部署</w:t>
      </w:r>
      <w:r>
        <w:rPr>
          <w:rFonts w:hint="eastAsia" w:ascii="宋体" w:hAnsi="宋体" w:eastAsia="宋体" w:cs="宋体"/>
          <w:spacing w:val="-15"/>
          <w:sz w:val="30"/>
          <w:szCs w:val="30"/>
          <w:highlight w:val="none"/>
          <w:lang w:eastAsia="zh-CN"/>
        </w:rPr>
        <w:t>。</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项目产出</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）数量指标</w:t>
      </w:r>
    </w:p>
    <w:p>
      <w:pPr>
        <w:numPr>
          <w:ilvl w:val="0"/>
          <w:numId w:val="0"/>
        </w:num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完成项目可行性批复1项。</w:t>
      </w:r>
    </w:p>
    <w:p>
      <w:pPr>
        <w:numPr>
          <w:ilvl w:val="0"/>
          <w:numId w:val="0"/>
        </w:num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eastAsia="zh-CN"/>
        </w:rPr>
        <w:t>赵家村棚户区改造工程一期、南航教师公寓、燕山美林南侧安置小区、先导区二期拆迁安置建设工程、溧阳市天目湖镇碧桂园大境小区及雍璟府小区10KV接入工程已开工建设。</w:t>
      </w:r>
    </w:p>
    <w:p>
      <w:pPr>
        <w:numPr>
          <w:ilvl w:val="0"/>
          <w:numId w:val="0"/>
        </w:numPr>
        <w:adjustRightInd w:val="0"/>
        <w:snapToGrid w:val="0"/>
        <w:spacing w:line="574" w:lineRule="exact"/>
        <w:ind w:left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）质量指标</w:t>
      </w:r>
    </w:p>
    <w:p>
      <w:pPr>
        <w:numPr>
          <w:ilvl w:val="0"/>
          <w:numId w:val="0"/>
        </w:num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val="en-US" w:eastAsia="zh-CN"/>
        </w:rPr>
        <w:t>可行性研究报告通过评审，取得发改委批复。</w:t>
      </w:r>
    </w:p>
    <w:p>
      <w:pPr>
        <w:adjustRightInd w:val="0"/>
        <w:snapToGrid w:val="0"/>
        <w:spacing w:line="574" w:lineRule="exact"/>
        <w:ind w:firstLine="540" w:firstLineChars="200"/>
        <w:jc w:val="both"/>
        <w:rPr>
          <w:rFonts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3</w:t>
      </w:r>
      <w:r>
        <w:rPr>
          <w:rFonts w:hint="eastAsia" w:ascii="宋体" w:hAnsi="宋体" w:eastAsia="宋体" w:cs="宋体"/>
          <w:spacing w:val="-15"/>
          <w:sz w:val="30"/>
          <w:szCs w:val="30"/>
          <w:highlight w:val="none"/>
          <w:lang w:eastAsia="zh-CN"/>
        </w:rPr>
        <w:t>）时效指标</w:t>
      </w:r>
    </w:p>
    <w:p>
      <w:p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eastAsia="zh-CN"/>
        </w:rPr>
        <w:t>序时进度完成率100%</w:t>
      </w:r>
      <w:r>
        <w:rPr>
          <w:rFonts w:hint="eastAsia" w:ascii="宋体" w:hAnsi="宋体" w:eastAsia="宋体" w:cs="宋体"/>
          <w:spacing w:val="-15"/>
          <w:sz w:val="30"/>
          <w:szCs w:val="30"/>
          <w:highlight w:val="none"/>
          <w:lang w:val="en-US" w:eastAsia="zh-CN"/>
        </w:rPr>
        <w:t>。</w:t>
      </w:r>
    </w:p>
    <w:p>
      <w:pPr>
        <w:adjustRightInd w:val="0"/>
        <w:snapToGrid w:val="0"/>
        <w:spacing w:line="574" w:lineRule="exact"/>
        <w:ind w:firstLine="540" w:firstLineChars="200"/>
        <w:jc w:val="both"/>
        <w:rPr>
          <w:rFonts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eastAsia="zh-CN"/>
        </w:rPr>
        <w:t>（</w:t>
      </w:r>
      <w:r>
        <w:rPr>
          <w:rFonts w:hint="eastAsia" w:ascii="宋体" w:hAnsi="宋体" w:eastAsia="宋体" w:cs="宋体"/>
          <w:spacing w:val="-15"/>
          <w:sz w:val="30"/>
          <w:szCs w:val="30"/>
          <w:highlight w:val="none"/>
          <w:lang w:val="en-US" w:eastAsia="zh-CN"/>
        </w:rPr>
        <w:t>4</w:t>
      </w:r>
      <w:r>
        <w:rPr>
          <w:rFonts w:hint="eastAsia" w:ascii="宋体" w:hAnsi="宋体" w:eastAsia="宋体" w:cs="宋体"/>
          <w:spacing w:val="-15"/>
          <w:sz w:val="30"/>
          <w:szCs w:val="30"/>
          <w:highlight w:val="none"/>
          <w:lang w:eastAsia="zh-CN"/>
        </w:rPr>
        <w:t>）成本指标</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已完成任务成本控制率</w:t>
      </w:r>
      <w:r>
        <w:rPr>
          <w:rFonts w:hint="eastAsia" w:ascii="宋体" w:hAnsi="宋体" w:eastAsia="宋体" w:cs="宋体"/>
          <w:spacing w:val="-15"/>
          <w:sz w:val="30"/>
          <w:szCs w:val="30"/>
          <w:lang w:val="en-US" w:eastAsia="zh-CN"/>
        </w:rPr>
        <w:t>100%。</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三</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效益</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经济效益</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经批准的可研投资估算作为成本控制的依据，</w:t>
      </w:r>
      <w:r>
        <w:rPr>
          <w:rFonts w:hint="eastAsia" w:ascii="宋体" w:hAnsi="宋体" w:eastAsia="宋体" w:cs="宋体"/>
          <w:spacing w:val="-15"/>
          <w:sz w:val="30"/>
          <w:szCs w:val="30"/>
          <w:lang w:val="en-US" w:eastAsia="zh-CN"/>
        </w:rPr>
        <w:t>不</w:t>
      </w:r>
      <w:r>
        <w:rPr>
          <w:rFonts w:hint="eastAsia" w:ascii="宋体" w:hAnsi="宋体" w:eastAsia="宋体" w:cs="宋体"/>
          <w:spacing w:val="-15"/>
          <w:sz w:val="30"/>
          <w:szCs w:val="30"/>
          <w:lang w:eastAsia="zh-CN"/>
        </w:rPr>
        <w:t>超可研总投资批复的10%。</w:t>
      </w:r>
    </w:p>
    <w:p>
      <w:pPr>
        <w:numPr>
          <w:ilvl w:val="0"/>
          <w:numId w:val="4"/>
        </w:num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社会效益 </w:t>
      </w:r>
    </w:p>
    <w:p>
      <w:pPr>
        <w:numPr>
          <w:ilvl w:val="0"/>
          <w:numId w:val="0"/>
        </w:numPr>
        <w:adjustRightInd w:val="0"/>
        <w:snapToGrid w:val="0"/>
        <w:spacing w:line="574" w:lineRule="exact"/>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     施工期间未受交通部门处罚，合理规划施工，未占用社会资源。</w:t>
      </w:r>
    </w:p>
    <w:p>
      <w:pPr>
        <w:numPr>
          <w:ilvl w:val="0"/>
          <w:numId w:val="4"/>
        </w:num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生态效益</w:t>
      </w:r>
    </w:p>
    <w:p>
      <w:pPr>
        <w:numPr>
          <w:ilvl w:val="0"/>
          <w:numId w:val="0"/>
        </w:numPr>
        <w:adjustRightInd w:val="0"/>
        <w:snapToGrid w:val="0"/>
        <w:spacing w:line="574" w:lineRule="exact"/>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     施工现场环境保护符合要求，未受环保部门处罚。</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四</w:t>
      </w:r>
      <w:r>
        <w:rPr>
          <w:rFonts w:hint="eastAsia" w:ascii="宋体" w:hAnsi="宋体" w:eastAsia="宋体" w:cs="宋体"/>
          <w:spacing w:val="-15"/>
          <w:sz w:val="30"/>
          <w:szCs w:val="30"/>
          <w:lang w:eastAsia="zh-CN"/>
        </w:rPr>
        <w:t>）满意度</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 项目全面分析所涉及区域、行业群众利益和生产生活的影响，及群众对影响的承受能力。经过充分论证，项目符合大多数人民群众的意愿，所需的人力、财力、物力在可承受的范围内并且有保障，能确保连续性和稳定性。</w:t>
      </w:r>
      <w:r>
        <w:rPr>
          <w:rFonts w:hint="eastAsia" w:ascii="宋体" w:hAnsi="宋体" w:eastAsia="宋体" w:cs="宋体"/>
          <w:spacing w:val="-15"/>
          <w:sz w:val="30"/>
          <w:szCs w:val="30"/>
          <w:lang w:val="en-US" w:eastAsia="zh-CN"/>
        </w:rPr>
        <w:t>项目建设过程中，</w:t>
      </w:r>
      <w:r>
        <w:rPr>
          <w:rFonts w:hint="eastAsia" w:ascii="宋体" w:hAnsi="宋体" w:eastAsia="宋体" w:cs="宋体"/>
          <w:spacing w:val="-15"/>
          <w:sz w:val="30"/>
          <w:szCs w:val="30"/>
          <w:lang w:eastAsia="zh-CN"/>
        </w:rPr>
        <w:t>未受</w:t>
      </w:r>
      <w:r>
        <w:rPr>
          <w:rFonts w:hint="eastAsia" w:ascii="宋体" w:hAnsi="宋体" w:eastAsia="宋体" w:cs="宋体"/>
          <w:spacing w:val="-15"/>
          <w:sz w:val="30"/>
          <w:szCs w:val="30"/>
          <w:lang w:val="en-US" w:eastAsia="zh-CN"/>
        </w:rPr>
        <w:t>到周边居民的</w:t>
      </w:r>
      <w:r>
        <w:rPr>
          <w:rFonts w:hint="eastAsia" w:ascii="宋体" w:hAnsi="宋体" w:eastAsia="宋体" w:cs="宋体"/>
          <w:spacing w:val="-15"/>
          <w:sz w:val="30"/>
          <w:szCs w:val="30"/>
          <w:lang w:eastAsia="zh-CN"/>
        </w:rPr>
        <w:t>投诉。</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经过综合评价，自评得分</w:t>
      </w:r>
      <w:r>
        <w:rPr>
          <w:rFonts w:hint="eastAsia" w:ascii="宋体" w:hAnsi="宋体" w:eastAsia="宋体" w:cs="宋体"/>
          <w:sz w:val="30"/>
          <w:szCs w:val="30"/>
          <w:highlight w:val="none"/>
          <w:lang w:eastAsia="zh-CN"/>
        </w:rPr>
        <w:t>为</w:t>
      </w:r>
      <w:r>
        <w:rPr>
          <w:rFonts w:hint="eastAsia" w:ascii="宋体" w:hAnsi="宋体" w:eastAsia="宋体" w:cs="宋体"/>
          <w:sz w:val="30"/>
          <w:szCs w:val="30"/>
          <w:highlight w:val="none"/>
          <w:lang w:val="en-US" w:eastAsia="zh-CN"/>
        </w:rPr>
        <w:t>97.55</w:t>
      </w:r>
      <w:r>
        <w:rPr>
          <w:rFonts w:hint="eastAsia" w:ascii="宋体" w:hAnsi="宋体" w:eastAsia="宋体" w:cs="宋体"/>
          <w:sz w:val="30"/>
          <w:szCs w:val="30"/>
          <w:highlight w:val="none"/>
          <w:lang w:eastAsia="zh-CN"/>
        </w:rPr>
        <w:t>分</w:t>
      </w:r>
      <w:r>
        <w:rPr>
          <w:rFonts w:hint="eastAsia" w:ascii="宋体" w:hAnsi="宋体" w:eastAsia="宋体" w:cs="宋体"/>
          <w:sz w:val="30"/>
          <w:szCs w:val="30"/>
          <w:lang w:eastAsia="zh-CN"/>
        </w:rPr>
        <w:t>，项目评价等级为优。</w:t>
      </w:r>
    </w:p>
    <w:p>
      <w:pPr>
        <w:numPr>
          <w:ilvl w:val="0"/>
          <w:numId w:val="5"/>
        </w:numPr>
        <w:adjustRightInd w:val="0"/>
        <w:snapToGrid w:val="0"/>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项目绩效</w:t>
      </w:r>
    </w:p>
    <w:p>
      <w:pPr>
        <w:numPr>
          <w:ilvl w:val="0"/>
          <w:numId w:val="6"/>
        </w:numPr>
        <w:adjustRightInd w:val="0"/>
        <w:snapToGrid w:val="0"/>
        <w:spacing w:line="574" w:lineRule="exact"/>
        <w:ind w:firstLine="54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投资管理</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按照项目实施进度、合同约定等向财政部门申请拨付资金。项目开工后，积极推进施工过程结算，按照时间节点或者进度节点约定付款周期，对分部质量验收通过的工程量，原则上同步计量、确认和支付工程价款。</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2、</w:t>
      </w:r>
      <w:r>
        <w:rPr>
          <w:rFonts w:hint="eastAsia" w:ascii="宋体" w:hAnsi="宋体" w:eastAsia="宋体" w:cs="宋体"/>
          <w:spacing w:val="-15"/>
          <w:sz w:val="30"/>
          <w:szCs w:val="30"/>
          <w:lang w:eastAsia="zh-CN"/>
        </w:rPr>
        <w:t>本项目资金的使用完全在投资估算范围内，未发生超出估算的情况，项目资金按计划使用情况良好。</w:t>
      </w:r>
    </w:p>
    <w:p>
      <w:pPr>
        <w:numPr>
          <w:ilvl w:val="0"/>
          <w:numId w:val="6"/>
        </w:numPr>
        <w:adjustRightInd w:val="0"/>
        <w:snapToGrid w:val="0"/>
        <w:spacing w:line="574" w:lineRule="exact"/>
        <w:ind w:firstLine="54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 xml:space="preserve">质量管理   </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建立健全工程项目质量管理体系，配备专职人员并明确其质量管理职责。法定代表人按照规定签署授权书，明确项目负责人，项目负责人按照规定签署工程质量终身责任承诺书。</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2、项目开工后，</w:t>
      </w:r>
      <w:r>
        <w:rPr>
          <w:rFonts w:hint="eastAsia" w:ascii="宋体" w:hAnsi="宋体" w:eastAsia="宋体" w:cs="宋体"/>
          <w:spacing w:val="-15"/>
          <w:sz w:val="30"/>
          <w:szCs w:val="30"/>
          <w:lang w:eastAsia="zh-CN"/>
        </w:rPr>
        <w:t>督促勘察、设计、施工、监理等单位切实履行质量责任，按照工程质量管理标准化的要求贯彻落实工程质量安全手册制度、举牌验收制度、样板示范制度和质量责任追溯制度，严格按照合同约定加强对现场质量管理人员到岗履职情况的检查考核，及时组织处理建设过程中的质量问题。</w:t>
      </w:r>
    </w:p>
    <w:p>
      <w:pPr>
        <w:adjustRightInd w:val="0"/>
        <w:snapToGrid w:val="0"/>
        <w:spacing w:line="574" w:lineRule="exact"/>
        <w:ind w:firstLine="540" w:firstLineChars="200"/>
        <w:jc w:val="both"/>
        <w:rPr>
          <w:rFonts w:ascii="宋体" w:hAnsi="宋体" w:eastAsia="宋体" w:cs="宋体"/>
          <w:spacing w:val="-15"/>
          <w:sz w:val="30"/>
          <w:szCs w:val="30"/>
          <w:lang w:eastAsia="zh-CN"/>
        </w:rPr>
      </w:pPr>
      <w:r>
        <w:rPr>
          <w:rFonts w:hint="eastAsia" w:ascii="宋体" w:hAnsi="宋体" w:eastAsia="宋体" w:cs="宋体"/>
          <w:spacing w:val="-15"/>
          <w:sz w:val="30"/>
          <w:szCs w:val="30"/>
          <w:lang w:val="en-US" w:eastAsia="zh-CN"/>
        </w:rPr>
        <w:t>3、</w:t>
      </w:r>
      <w:r>
        <w:rPr>
          <w:rFonts w:hint="eastAsia" w:ascii="宋体" w:hAnsi="宋体" w:eastAsia="宋体" w:cs="宋体"/>
          <w:spacing w:val="-15"/>
          <w:sz w:val="30"/>
          <w:szCs w:val="30"/>
          <w:lang w:eastAsia="zh-CN"/>
        </w:rPr>
        <w:t>严格质量检测管理，将委托第三方检测机构对工程实施过程中原材料、半成品等进行抽检试验，对工程实体的质量进行现场检测。</w:t>
      </w:r>
    </w:p>
    <w:p>
      <w:pPr>
        <w:adjustRightInd w:val="0"/>
        <w:snapToGrid w:val="0"/>
        <w:spacing w:line="574" w:lineRule="exact"/>
        <w:ind w:firstLine="540" w:firstLineChars="200"/>
        <w:jc w:val="both"/>
        <w:rPr>
          <w:rFonts w:hint="default" w:ascii="宋体" w:hAnsi="宋体" w:eastAsia="宋体" w:cs="宋体"/>
          <w:spacing w:val="-15"/>
          <w:sz w:val="30"/>
          <w:szCs w:val="30"/>
          <w:highlight w:val="none"/>
          <w:lang w:val="en-US" w:eastAsia="zh-CN"/>
        </w:rPr>
      </w:pPr>
      <w:r>
        <w:rPr>
          <w:rFonts w:hint="eastAsia" w:ascii="宋体" w:hAnsi="宋体" w:eastAsia="宋体" w:cs="宋体"/>
          <w:spacing w:val="-15"/>
          <w:sz w:val="30"/>
          <w:szCs w:val="30"/>
          <w:highlight w:val="none"/>
          <w:lang w:eastAsia="zh-CN"/>
        </w:rPr>
        <w:t>（三）</w:t>
      </w:r>
      <w:r>
        <w:rPr>
          <w:rFonts w:hint="eastAsia" w:ascii="宋体" w:hAnsi="宋体" w:eastAsia="宋体" w:cs="宋体"/>
          <w:spacing w:val="-15"/>
          <w:sz w:val="30"/>
          <w:szCs w:val="30"/>
          <w:highlight w:val="none"/>
          <w:lang w:val="en-US" w:eastAsia="zh-CN"/>
        </w:rPr>
        <w:t>进度管理</w:t>
      </w:r>
    </w:p>
    <w:p>
      <w:p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1、</w:t>
      </w:r>
      <w:r>
        <w:rPr>
          <w:rFonts w:hint="eastAsia" w:ascii="宋体" w:hAnsi="宋体" w:eastAsia="宋体" w:cs="宋体"/>
          <w:spacing w:val="-15"/>
          <w:sz w:val="30"/>
          <w:szCs w:val="30"/>
          <w:lang w:eastAsia="zh-CN"/>
        </w:rPr>
        <w:t>严格按照现行建设工程管理程序编制报审程序、网络图指导，组织实施各环节的工作。运用关键线路控制原则，对影响项目开工建设及后续工作开展的工作、程序实施重点控制。审批过程中，保持与审批部门的联系，主动了解审批进度，可能的情况下予以协调，以促进审批进度，缩短审批时间。</w:t>
      </w:r>
      <w:r>
        <w:rPr>
          <w:rFonts w:hint="eastAsia" w:ascii="宋体" w:hAnsi="宋体" w:eastAsia="宋体" w:cs="宋体"/>
          <w:spacing w:val="-15"/>
          <w:sz w:val="30"/>
          <w:szCs w:val="30"/>
          <w:lang w:val="en-US" w:eastAsia="zh-CN"/>
        </w:rPr>
        <w:t xml:space="preserve"> </w:t>
      </w:r>
    </w:p>
    <w:p>
      <w:pPr>
        <w:adjustRightInd w:val="0"/>
        <w:snapToGrid w:val="0"/>
        <w:spacing w:line="574" w:lineRule="exact"/>
        <w:ind w:firstLine="540" w:firstLineChars="200"/>
        <w:jc w:val="both"/>
        <w:rPr>
          <w:rFonts w:hint="eastAsia" w:ascii="宋体" w:hAnsi="宋体" w:eastAsia="宋体" w:cs="宋体"/>
          <w:spacing w:val="-15"/>
          <w:sz w:val="30"/>
          <w:szCs w:val="30"/>
          <w:lang w:val="en-US" w:eastAsia="zh-CN"/>
        </w:rPr>
      </w:pPr>
      <w:r>
        <w:rPr>
          <w:rFonts w:hint="eastAsia" w:ascii="宋体" w:hAnsi="宋体" w:eastAsia="宋体" w:cs="宋体"/>
          <w:spacing w:val="-15"/>
          <w:sz w:val="30"/>
          <w:szCs w:val="30"/>
          <w:lang w:val="en-US" w:eastAsia="zh-CN"/>
        </w:rPr>
        <w:t>2、要求各参建单位严格按照节点控制进度，与进度计划对比，评估进度的完成情况，若有滞后计划的情况，向参建单位发函，要求其采取合理措施调整进度。</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（四）</w:t>
      </w:r>
      <w:r>
        <w:rPr>
          <w:rFonts w:hint="eastAsia" w:ascii="宋体" w:hAnsi="宋体" w:eastAsia="宋体" w:cs="宋体"/>
          <w:spacing w:val="-15"/>
          <w:sz w:val="30"/>
          <w:szCs w:val="30"/>
          <w:lang w:val="en-US" w:eastAsia="zh-CN"/>
        </w:rPr>
        <w:t>安全管理</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 </w:t>
      </w:r>
      <w:r>
        <w:rPr>
          <w:rFonts w:hint="eastAsia" w:ascii="宋体" w:hAnsi="宋体" w:eastAsia="宋体" w:cs="宋体"/>
          <w:spacing w:val="-15"/>
          <w:sz w:val="30"/>
          <w:szCs w:val="30"/>
          <w:lang w:val="en-US" w:eastAsia="zh-CN"/>
        </w:rPr>
        <w:t>项目开工后，</w:t>
      </w:r>
      <w:r>
        <w:rPr>
          <w:rFonts w:hint="eastAsia" w:ascii="宋体" w:hAnsi="宋体" w:eastAsia="宋体" w:cs="宋体"/>
          <w:spacing w:val="-15"/>
          <w:sz w:val="30"/>
          <w:szCs w:val="30"/>
          <w:lang w:eastAsia="zh-CN"/>
        </w:rPr>
        <w:t>开展安全巡查和检查，并对发现的问题向承包人提出相关建议，及时督促相关单位整改，跟踪整改情况；检查关键工程的工艺性试验；对质量缺陷、质量事故进行检查并提交报告；按照行业主管部门、上级有关单位的要求开展质量安全专项活动。</w:t>
      </w:r>
    </w:p>
    <w:p>
      <w:pPr>
        <w:adjustRightInd w:val="0"/>
        <w:snapToGrid w:val="0"/>
        <w:spacing w:line="574" w:lineRule="exact"/>
        <w:ind w:firstLine="540" w:firstLineChars="200"/>
        <w:jc w:val="both"/>
        <w:rPr>
          <w:rFonts w:hint="eastAsia" w:ascii="宋体" w:hAnsi="宋体" w:eastAsia="宋体" w:cs="宋体"/>
          <w:spacing w:val="-15"/>
          <w:sz w:val="30"/>
          <w:szCs w:val="30"/>
          <w:highlight w:val="none"/>
          <w:lang w:eastAsia="zh-CN"/>
        </w:rPr>
      </w:pPr>
      <w:r>
        <w:rPr>
          <w:rFonts w:hint="eastAsia" w:ascii="宋体" w:hAnsi="宋体" w:eastAsia="宋体" w:cs="宋体"/>
          <w:spacing w:val="-15"/>
          <w:sz w:val="30"/>
          <w:szCs w:val="30"/>
          <w:highlight w:val="none"/>
          <w:lang w:val="en-US" w:eastAsia="zh-CN"/>
        </w:rPr>
        <w:t>1</w:t>
      </w:r>
      <w:r>
        <w:rPr>
          <w:rFonts w:hint="eastAsia" w:ascii="宋体" w:hAnsi="宋体" w:eastAsia="宋体" w:cs="宋体"/>
          <w:spacing w:val="-15"/>
          <w:sz w:val="30"/>
          <w:szCs w:val="30"/>
          <w:highlight w:val="none"/>
          <w:lang w:eastAsia="zh-CN"/>
        </w:rPr>
        <w:t xml:space="preserve">、组织施工组人员做好安全技术交底，项目部安全人员召集施工组现场人员做好三级安全教育培训、确保安全施工基础等工作。  </w:t>
      </w:r>
    </w:p>
    <w:p>
      <w:pPr>
        <w:adjustRightInd w:val="0"/>
        <w:snapToGrid w:val="0"/>
        <w:spacing w:line="574" w:lineRule="exact"/>
        <w:ind w:firstLine="540" w:firstLineChars="200"/>
        <w:jc w:val="both"/>
        <w:rPr>
          <w:rFonts w:hint="default" w:ascii="宋体" w:hAnsi="宋体" w:eastAsia="宋体" w:cs="宋体"/>
          <w:spacing w:val="-15"/>
          <w:sz w:val="30"/>
          <w:szCs w:val="30"/>
          <w:lang w:val="en-US" w:eastAsia="zh-CN"/>
        </w:rPr>
      </w:pP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五</w:t>
      </w:r>
      <w:r>
        <w:rPr>
          <w:rFonts w:hint="eastAsia" w:ascii="宋体" w:hAnsi="宋体" w:eastAsia="宋体" w:cs="宋体"/>
          <w:spacing w:val="-15"/>
          <w:sz w:val="30"/>
          <w:szCs w:val="30"/>
          <w:lang w:eastAsia="zh-CN"/>
        </w:rPr>
        <w:t>）</w:t>
      </w:r>
      <w:r>
        <w:rPr>
          <w:rFonts w:hint="eastAsia" w:ascii="宋体" w:hAnsi="宋体" w:eastAsia="宋体" w:cs="宋体"/>
          <w:spacing w:val="-15"/>
          <w:sz w:val="30"/>
          <w:szCs w:val="30"/>
          <w:lang w:val="en-US" w:eastAsia="zh-CN"/>
        </w:rPr>
        <w:t xml:space="preserve">档案管理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1、了解部门的工作业务开展情况，掌握部门文件材料的归档范围，收集部门的文件材料；整理文件时应遵循文件的形成规律和特点，保持文件之间的有机联系。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2、认真执行平时归档制度，对部门承办工作所产生的文件材料应及时收集，进行分类登记，归档，部门资料员应自行编制档案目录。  </w:t>
      </w:r>
    </w:p>
    <w:p>
      <w:pPr>
        <w:adjustRightInd w:val="0"/>
        <w:snapToGrid w:val="0"/>
        <w:spacing w:line="574" w:lineRule="exact"/>
        <w:ind w:firstLine="540" w:firstLineChars="200"/>
        <w:jc w:val="both"/>
        <w:rPr>
          <w:rFonts w:hint="eastAsia" w:ascii="宋体" w:hAnsi="宋体" w:eastAsia="宋体" w:cs="宋体"/>
          <w:spacing w:val="-15"/>
          <w:sz w:val="30"/>
          <w:szCs w:val="30"/>
          <w:lang w:eastAsia="zh-CN"/>
        </w:rPr>
      </w:pPr>
      <w:r>
        <w:rPr>
          <w:rFonts w:hint="eastAsia" w:ascii="宋体" w:hAnsi="宋体" w:eastAsia="宋体" w:cs="宋体"/>
          <w:spacing w:val="-15"/>
          <w:sz w:val="30"/>
          <w:szCs w:val="30"/>
          <w:lang w:eastAsia="zh-CN"/>
        </w:rPr>
        <w:t xml:space="preserve">3、移交档案时，如有电子文档应同时移交相关文件，对于具有重要保存价值的电子文件，应备份内容相同的纸质文件同时归档。对于部门业务工作中仍需使用的文件和资料，应在归档前自行制作复印件，并在本部门内妥善保管。 </w:t>
      </w:r>
    </w:p>
    <w:p>
      <w:pPr>
        <w:adjustRightInd w:val="0"/>
        <w:snapToGrid w:val="0"/>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四、存在问题</w:t>
      </w:r>
      <w:r>
        <w:rPr>
          <w:rFonts w:hint="eastAsia" w:ascii="宋体" w:hAnsi="宋体" w:eastAsia="宋体" w:cs="宋体"/>
          <w:sz w:val="30"/>
          <w:szCs w:val="30"/>
          <w:lang w:eastAsia="zh-CN"/>
        </w:rPr>
        <w:t>。</w:t>
      </w:r>
    </w:p>
    <w:p>
      <w:pPr>
        <w:spacing w:line="574" w:lineRule="exact"/>
        <w:ind w:firstLine="600" w:firstLineChars="200"/>
        <w:jc w:val="both"/>
        <w:rPr>
          <w:rFonts w:ascii="宋体" w:hAnsi="宋体" w:eastAsia="宋体" w:cs="宋体"/>
          <w:sz w:val="30"/>
          <w:szCs w:val="30"/>
          <w:highlight w:val="cyan"/>
          <w:lang w:eastAsia="zh-CN"/>
        </w:rPr>
      </w:pPr>
      <w:r>
        <w:rPr>
          <w:rFonts w:hint="eastAsia" w:ascii="宋体" w:hAnsi="宋体" w:eastAsia="宋体" w:cs="宋体"/>
          <w:sz w:val="30"/>
          <w:szCs w:val="30"/>
          <w:highlight w:val="none"/>
          <w:lang w:eastAsia="zh-CN"/>
        </w:rPr>
        <w:t>因部分项目未到付款节点，预算执行率较低。</w:t>
      </w:r>
    </w:p>
    <w:p>
      <w:pPr>
        <w:spacing w:line="574" w:lineRule="exact"/>
        <w:ind w:firstLine="602" w:firstLineChars="200"/>
        <w:jc w:val="both"/>
        <w:rPr>
          <w:rFonts w:ascii="宋体" w:hAnsi="宋体" w:eastAsia="宋体" w:cs="宋体"/>
          <w:sz w:val="30"/>
          <w:szCs w:val="30"/>
          <w:lang w:eastAsia="zh-CN"/>
        </w:rPr>
      </w:pPr>
      <w:r>
        <w:rPr>
          <w:rFonts w:hint="eastAsia" w:ascii="宋体" w:hAnsi="宋体" w:eastAsia="宋体" w:cs="宋体"/>
          <w:b/>
          <w:bCs/>
          <w:sz w:val="30"/>
          <w:szCs w:val="30"/>
          <w:lang w:eastAsia="zh-CN"/>
        </w:rPr>
        <w:t>五、有关建议</w:t>
      </w:r>
    </w:p>
    <w:p>
      <w:pPr>
        <w:spacing w:line="574" w:lineRule="exact"/>
        <w:ind w:firstLine="600" w:firstLineChars="200"/>
        <w:jc w:val="both"/>
        <w:rPr>
          <w:rFonts w:ascii="宋体" w:hAnsi="宋体" w:eastAsia="宋体" w:cs="宋体"/>
          <w:sz w:val="30"/>
          <w:szCs w:val="30"/>
          <w:lang w:eastAsia="zh-CN"/>
        </w:rPr>
      </w:pPr>
      <w:r>
        <w:rPr>
          <w:rFonts w:hint="eastAsia" w:ascii="宋体" w:hAnsi="宋体" w:eastAsia="宋体" w:cs="宋体"/>
          <w:sz w:val="30"/>
          <w:szCs w:val="30"/>
          <w:lang w:eastAsia="zh-CN"/>
        </w:rPr>
        <w:t>今后将加强项目管控，合理制定项目总进度计划，结合月度、季度等各专项检查，发现延迟进度情况，及时调整进度计划，增加人员、物资投入，全过程监控进度管理。</w:t>
      </w:r>
    </w:p>
    <w:p>
      <w:pPr>
        <w:numPr>
          <w:ilvl w:val="0"/>
          <w:numId w:val="7"/>
        </w:numPr>
        <w:spacing w:line="574" w:lineRule="exact"/>
        <w:ind w:firstLine="602" w:firstLineChars="200"/>
        <w:jc w:val="both"/>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附件</w:t>
      </w:r>
      <w:bookmarkStart w:id="0" w:name="附件4_项目支出绩效评价工作方案提纲"/>
      <w:bookmarkEnd w:id="0"/>
      <w:bookmarkStart w:id="1" w:name="苏财规2020-020附件-4"/>
      <w:bookmarkEnd w:id="1"/>
      <w:bookmarkStart w:id="2" w:name="附件3_项目支出绩效评价指标体系框架"/>
      <w:bookmarkEnd w:id="2"/>
      <w:bookmarkStart w:id="3" w:name="苏财规2020-020附件-3"/>
      <w:bookmarkEnd w:id="3"/>
    </w:p>
    <w:p>
      <w:pPr>
        <w:spacing w:line="574" w:lineRule="exact"/>
        <w:ind w:firstLine="600" w:firstLineChars="200"/>
        <w:jc w:val="both"/>
        <w:rPr>
          <w:rFonts w:hint="eastAsia" w:ascii="宋体" w:hAnsi="宋体" w:eastAsia="宋体" w:cs="宋体"/>
          <w:sz w:val="30"/>
          <w:szCs w:val="30"/>
          <w:lang w:eastAsia="zh-CN"/>
        </w:rPr>
      </w:pPr>
      <w:r>
        <w:rPr>
          <w:rFonts w:hint="eastAsia" w:ascii="宋体" w:hAnsi="宋体" w:eastAsia="宋体" w:cs="宋体"/>
          <w:sz w:val="30"/>
          <w:szCs w:val="30"/>
          <w:lang w:val="en-US" w:eastAsia="zh-CN"/>
        </w:rPr>
        <w:t>1、绩效自评价评分表</w:t>
      </w:r>
    </w:p>
    <w:p>
      <w:pPr>
        <w:numPr>
          <w:ilvl w:val="0"/>
          <w:numId w:val="0"/>
        </w:numPr>
        <w:spacing w:line="574" w:lineRule="exact"/>
        <w:jc w:val="both"/>
        <w:rPr>
          <w:rFonts w:hint="eastAsia" w:ascii="宋体" w:hAnsi="宋体" w:eastAsia="宋体" w:cs="宋体"/>
          <w:b/>
          <w:bCs/>
          <w:sz w:val="30"/>
          <w:szCs w:val="30"/>
          <w:lang w:eastAsia="zh-CN"/>
        </w:rPr>
      </w:pPr>
    </w:p>
    <w:sectPr>
      <w:pgSz w:w="11910" w:h="16840"/>
      <w:pgMar w:top="1984" w:right="1134" w:bottom="1984" w:left="1417" w:header="720" w:footer="720"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1EE595"/>
    <w:multiLevelType w:val="singleLevel"/>
    <w:tmpl w:val="8B1EE595"/>
    <w:lvl w:ilvl="0" w:tentative="0">
      <w:start w:val="1"/>
      <w:numFmt w:val="decimal"/>
      <w:suff w:val="nothing"/>
      <w:lvlText w:val="%1、"/>
      <w:lvlJc w:val="left"/>
    </w:lvl>
  </w:abstractNum>
  <w:abstractNum w:abstractNumId="1">
    <w:nsid w:val="A7ECF659"/>
    <w:multiLevelType w:val="singleLevel"/>
    <w:tmpl w:val="A7ECF659"/>
    <w:lvl w:ilvl="0" w:tentative="0">
      <w:start w:val="6"/>
      <w:numFmt w:val="chineseCounting"/>
      <w:suff w:val="nothing"/>
      <w:lvlText w:val="%1、"/>
      <w:lvlJc w:val="left"/>
      <w:rPr>
        <w:rFonts w:hint="eastAsia"/>
      </w:rPr>
    </w:lvl>
  </w:abstractNum>
  <w:abstractNum w:abstractNumId="2">
    <w:nsid w:val="0648E829"/>
    <w:multiLevelType w:val="singleLevel"/>
    <w:tmpl w:val="0648E829"/>
    <w:lvl w:ilvl="0" w:tentative="0">
      <w:start w:val="1"/>
      <w:numFmt w:val="chineseCounting"/>
      <w:suff w:val="nothing"/>
      <w:lvlText w:val="（%1）"/>
      <w:lvlJc w:val="left"/>
      <w:rPr>
        <w:rFonts w:hint="eastAsia"/>
      </w:rPr>
    </w:lvl>
  </w:abstractNum>
  <w:abstractNum w:abstractNumId="3">
    <w:nsid w:val="16502C84"/>
    <w:multiLevelType w:val="singleLevel"/>
    <w:tmpl w:val="16502C84"/>
    <w:lvl w:ilvl="0" w:tentative="0">
      <w:start w:val="2"/>
      <w:numFmt w:val="decimal"/>
      <w:suff w:val="nothing"/>
      <w:lvlText w:val="（%1）"/>
      <w:lvlJc w:val="left"/>
    </w:lvl>
  </w:abstractNum>
  <w:abstractNum w:abstractNumId="4">
    <w:nsid w:val="5477D830"/>
    <w:multiLevelType w:val="singleLevel"/>
    <w:tmpl w:val="5477D830"/>
    <w:lvl w:ilvl="0" w:tentative="0">
      <w:start w:val="3"/>
      <w:numFmt w:val="chineseCounting"/>
      <w:suff w:val="nothing"/>
      <w:lvlText w:val="%1、"/>
      <w:lvlJc w:val="left"/>
      <w:rPr>
        <w:rFonts w:hint="eastAsia"/>
      </w:rPr>
    </w:lvl>
  </w:abstractNum>
  <w:abstractNum w:abstractNumId="5">
    <w:nsid w:val="5AFE4926"/>
    <w:multiLevelType w:val="singleLevel"/>
    <w:tmpl w:val="5AFE4926"/>
    <w:lvl w:ilvl="0" w:tentative="0">
      <w:start w:val="2"/>
      <w:numFmt w:val="chineseCounting"/>
      <w:suff w:val="nothing"/>
      <w:lvlText w:val="（%1）"/>
      <w:lvlJc w:val="left"/>
      <w:pPr>
        <w:ind w:left="-160"/>
      </w:pPr>
      <w:rPr>
        <w:rFonts w:hint="eastAsia"/>
      </w:rPr>
    </w:lvl>
  </w:abstractNum>
  <w:abstractNum w:abstractNumId="6">
    <w:nsid w:val="776AF386"/>
    <w:multiLevelType w:val="singleLevel"/>
    <w:tmpl w:val="776AF386"/>
    <w:lvl w:ilvl="0" w:tentative="0">
      <w:start w:val="2"/>
      <w:numFmt w:val="decimal"/>
      <w:suff w:val="nothing"/>
      <w:lvlText w:val="%1、"/>
      <w:lvlJc w:val="left"/>
    </w:lvl>
  </w:abstractNum>
  <w:num w:numId="1">
    <w:abstractNumId w:val="5"/>
  </w:num>
  <w:num w:numId="2">
    <w:abstractNumId w:val="6"/>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hNTUyOTEwY2NiMzg5MDEwYmU5YjIxYWEyZWQwZGMifQ=="/>
  </w:docVars>
  <w:rsids>
    <w:rsidRoot w:val="006A0286"/>
    <w:rsid w:val="0000186F"/>
    <w:rsid w:val="00027842"/>
    <w:rsid w:val="000F0010"/>
    <w:rsid w:val="001076FD"/>
    <w:rsid w:val="00112A3C"/>
    <w:rsid w:val="0012335B"/>
    <w:rsid w:val="00170EBA"/>
    <w:rsid w:val="001D43CE"/>
    <w:rsid w:val="001E1F08"/>
    <w:rsid w:val="001F5652"/>
    <w:rsid w:val="002034C4"/>
    <w:rsid w:val="00223670"/>
    <w:rsid w:val="002F39B9"/>
    <w:rsid w:val="00317F35"/>
    <w:rsid w:val="003D4D43"/>
    <w:rsid w:val="003E2E24"/>
    <w:rsid w:val="00412A90"/>
    <w:rsid w:val="00427AA3"/>
    <w:rsid w:val="00453872"/>
    <w:rsid w:val="00485FCA"/>
    <w:rsid w:val="00496584"/>
    <w:rsid w:val="004B1555"/>
    <w:rsid w:val="004E3E98"/>
    <w:rsid w:val="004F2889"/>
    <w:rsid w:val="00541FD2"/>
    <w:rsid w:val="0055497B"/>
    <w:rsid w:val="0058181F"/>
    <w:rsid w:val="005C5968"/>
    <w:rsid w:val="005D094F"/>
    <w:rsid w:val="005D61F8"/>
    <w:rsid w:val="006032DC"/>
    <w:rsid w:val="006A0286"/>
    <w:rsid w:val="006F1257"/>
    <w:rsid w:val="006F2AB8"/>
    <w:rsid w:val="00705B52"/>
    <w:rsid w:val="00721281"/>
    <w:rsid w:val="0072674E"/>
    <w:rsid w:val="007416BA"/>
    <w:rsid w:val="0075652D"/>
    <w:rsid w:val="00784065"/>
    <w:rsid w:val="007A754E"/>
    <w:rsid w:val="00830C91"/>
    <w:rsid w:val="008C735A"/>
    <w:rsid w:val="008D7527"/>
    <w:rsid w:val="008F6FC9"/>
    <w:rsid w:val="00926E98"/>
    <w:rsid w:val="0095504B"/>
    <w:rsid w:val="009B2D68"/>
    <w:rsid w:val="00A14DE2"/>
    <w:rsid w:val="00A72387"/>
    <w:rsid w:val="00A736D9"/>
    <w:rsid w:val="00A863A2"/>
    <w:rsid w:val="00AA24DC"/>
    <w:rsid w:val="00AC69E3"/>
    <w:rsid w:val="00B14C89"/>
    <w:rsid w:val="00B33955"/>
    <w:rsid w:val="00BD1F01"/>
    <w:rsid w:val="00CB64D3"/>
    <w:rsid w:val="00D20830"/>
    <w:rsid w:val="00D20FCF"/>
    <w:rsid w:val="00D71C46"/>
    <w:rsid w:val="00D855DD"/>
    <w:rsid w:val="00D85F96"/>
    <w:rsid w:val="00DE067D"/>
    <w:rsid w:val="00DF053C"/>
    <w:rsid w:val="00DF24E7"/>
    <w:rsid w:val="00E1011A"/>
    <w:rsid w:val="00E70A55"/>
    <w:rsid w:val="00EB03FD"/>
    <w:rsid w:val="00EB47A6"/>
    <w:rsid w:val="00ED06B2"/>
    <w:rsid w:val="00EF65E3"/>
    <w:rsid w:val="00F161C4"/>
    <w:rsid w:val="00F35A70"/>
    <w:rsid w:val="00F4202D"/>
    <w:rsid w:val="00FB5E7E"/>
    <w:rsid w:val="00FC405A"/>
    <w:rsid w:val="00FC7877"/>
    <w:rsid w:val="010B405F"/>
    <w:rsid w:val="01522F33"/>
    <w:rsid w:val="015522D5"/>
    <w:rsid w:val="0166457E"/>
    <w:rsid w:val="01B018C4"/>
    <w:rsid w:val="01F11CD4"/>
    <w:rsid w:val="0255721E"/>
    <w:rsid w:val="025D7FF3"/>
    <w:rsid w:val="027520D7"/>
    <w:rsid w:val="02D84C98"/>
    <w:rsid w:val="02DA66D9"/>
    <w:rsid w:val="031F3DF1"/>
    <w:rsid w:val="036363D4"/>
    <w:rsid w:val="0384671D"/>
    <w:rsid w:val="041004C7"/>
    <w:rsid w:val="04765A2E"/>
    <w:rsid w:val="04B9600D"/>
    <w:rsid w:val="04C603A8"/>
    <w:rsid w:val="04E11CA6"/>
    <w:rsid w:val="05031C1C"/>
    <w:rsid w:val="05261D79"/>
    <w:rsid w:val="052A6DD2"/>
    <w:rsid w:val="053E31B5"/>
    <w:rsid w:val="056C1C4E"/>
    <w:rsid w:val="058A7C48"/>
    <w:rsid w:val="05F5658A"/>
    <w:rsid w:val="06513492"/>
    <w:rsid w:val="069977D8"/>
    <w:rsid w:val="06B57DFC"/>
    <w:rsid w:val="07025814"/>
    <w:rsid w:val="071D3E77"/>
    <w:rsid w:val="0730481F"/>
    <w:rsid w:val="0790350F"/>
    <w:rsid w:val="07AD40C1"/>
    <w:rsid w:val="07B014DD"/>
    <w:rsid w:val="07B84B3A"/>
    <w:rsid w:val="080B6E7B"/>
    <w:rsid w:val="087C7C39"/>
    <w:rsid w:val="08FE016C"/>
    <w:rsid w:val="09300B06"/>
    <w:rsid w:val="0936645D"/>
    <w:rsid w:val="09572537"/>
    <w:rsid w:val="097035F9"/>
    <w:rsid w:val="098D417D"/>
    <w:rsid w:val="09FC4E8C"/>
    <w:rsid w:val="0A044DA3"/>
    <w:rsid w:val="0A195594"/>
    <w:rsid w:val="0A3269CB"/>
    <w:rsid w:val="0AFE3B88"/>
    <w:rsid w:val="0B48482D"/>
    <w:rsid w:val="0B946198"/>
    <w:rsid w:val="0BD90DA4"/>
    <w:rsid w:val="0BFA1390"/>
    <w:rsid w:val="0C1038AA"/>
    <w:rsid w:val="0C1D32AF"/>
    <w:rsid w:val="0C33272B"/>
    <w:rsid w:val="0C523489"/>
    <w:rsid w:val="0CAC4FB4"/>
    <w:rsid w:val="0CB437FC"/>
    <w:rsid w:val="0CCC472A"/>
    <w:rsid w:val="0CF55C46"/>
    <w:rsid w:val="0D1D75F3"/>
    <w:rsid w:val="0D3C666E"/>
    <w:rsid w:val="0DA11A57"/>
    <w:rsid w:val="0DB77E1B"/>
    <w:rsid w:val="0DE30198"/>
    <w:rsid w:val="0DE70FE6"/>
    <w:rsid w:val="0E3746E5"/>
    <w:rsid w:val="0E642E01"/>
    <w:rsid w:val="0F123345"/>
    <w:rsid w:val="0F961D1A"/>
    <w:rsid w:val="0FB71F52"/>
    <w:rsid w:val="0FC86E19"/>
    <w:rsid w:val="105253FD"/>
    <w:rsid w:val="10E741A0"/>
    <w:rsid w:val="10F0290B"/>
    <w:rsid w:val="10F451BF"/>
    <w:rsid w:val="11052878"/>
    <w:rsid w:val="114F378A"/>
    <w:rsid w:val="1150463B"/>
    <w:rsid w:val="11D772FB"/>
    <w:rsid w:val="11E55436"/>
    <w:rsid w:val="125853BD"/>
    <w:rsid w:val="12B47E12"/>
    <w:rsid w:val="12D6271E"/>
    <w:rsid w:val="12F336D9"/>
    <w:rsid w:val="13966BB5"/>
    <w:rsid w:val="13D604FC"/>
    <w:rsid w:val="15763D45"/>
    <w:rsid w:val="15785BB6"/>
    <w:rsid w:val="15AE1730"/>
    <w:rsid w:val="15AE235B"/>
    <w:rsid w:val="16467BBB"/>
    <w:rsid w:val="16690AD8"/>
    <w:rsid w:val="168B1A72"/>
    <w:rsid w:val="17AE3C6A"/>
    <w:rsid w:val="17CF014A"/>
    <w:rsid w:val="180B3F4D"/>
    <w:rsid w:val="181D78FA"/>
    <w:rsid w:val="18915FD7"/>
    <w:rsid w:val="18B84674"/>
    <w:rsid w:val="18C930EF"/>
    <w:rsid w:val="18DD4048"/>
    <w:rsid w:val="18F70EA2"/>
    <w:rsid w:val="190212E1"/>
    <w:rsid w:val="192D38C8"/>
    <w:rsid w:val="193351D1"/>
    <w:rsid w:val="19341A2E"/>
    <w:rsid w:val="196D699A"/>
    <w:rsid w:val="19831126"/>
    <w:rsid w:val="19A36EAD"/>
    <w:rsid w:val="1A183487"/>
    <w:rsid w:val="1A387A77"/>
    <w:rsid w:val="1A8B0593"/>
    <w:rsid w:val="1ABC6DFD"/>
    <w:rsid w:val="1AF128F9"/>
    <w:rsid w:val="1BE032D6"/>
    <w:rsid w:val="1BE80837"/>
    <w:rsid w:val="1C220CF4"/>
    <w:rsid w:val="1C544E56"/>
    <w:rsid w:val="1C8B0CB9"/>
    <w:rsid w:val="1CAA202B"/>
    <w:rsid w:val="1CB57518"/>
    <w:rsid w:val="1CEE0B2F"/>
    <w:rsid w:val="1D0E6F59"/>
    <w:rsid w:val="1E223E6B"/>
    <w:rsid w:val="1E3B2713"/>
    <w:rsid w:val="1E7A1200"/>
    <w:rsid w:val="1EF0001F"/>
    <w:rsid w:val="1EF6072C"/>
    <w:rsid w:val="1F0F26C5"/>
    <w:rsid w:val="1F141FC7"/>
    <w:rsid w:val="1F4153EC"/>
    <w:rsid w:val="20104D96"/>
    <w:rsid w:val="20A57420"/>
    <w:rsid w:val="20AB7D17"/>
    <w:rsid w:val="20D45824"/>
    <w:rsid w:val="20E5699A"/>
    <w:rsid w:val="20EC75B1"/>
    <w:rsid w:val="20FA72D4"/>
    <w:rsid w:val="213E63B9"/>
    <w:rsid w:val="21823518"/>
    <w:rsid w:val="21A94054"/>
    <w:rsid w:val="21CA79F1"/>
    <w:rsid w:val="232E3EB1"/>
    <w:rsid w:val="23647F11"/>
    <w:rsid w:val="2381290B"/>
    <w:rsid w:val="23BA0077"/>
    <w:rsid w:val="24550140"/>
    <w:rsid w:val="248B40E3"/>
    <w:rsid w:val="24F3563C"/>
    <w:rsid w:val="251865DA"/>
    <w:rsid w:val="25B367A6"/>
    <w:rsid w:val="261C4DF6"/>
    <w:rsid w:val="26360CD5"/>
    <w:rsid w:val="26394025"/>
    <w:rsid w:val="264C1327"/>
    <w:rsid w:val="265E2CFF"/>
    <w:rsid w:val="26737D1F"/>
    <w:rsid w:val="26B741BD"/>
    <w:rsid w:val="270B77EA"/>
    <w:rsid w:val="27BF3329"/>
    <w:rsid w:val="27D112AE"/>
    <w:rsid w:val="28333130"/>
    <w:rsid w:val="288363F1"/>
    <w:rsid w:val="28DE70CF"/>
    <w:rsid w:val="28ED5497"/>
    <w:rsid w:val="290D492E"/>
    <w:rsid w:val="294A7316"/>
    <w:rsid w:val="294E2E79"/>
    <w:rsid w:val="294F7F37"/>
    <w:rsid w:val="2A083A69"/>
    <w:rsid w:val="2A171AE2"/>
    <w:rsid w:val="2A4C443E"/>
    <w:rsid w:val="2A8635DD"/>
    <w:rsid w:val="2A8704DB"/>
    <w:rsid w:val="2B007153"/>
    <w:rsid w:val="2B4E46A4"/>
    <w:rsid w:val="2B57010A"/>
    <w:rsid w:val="2BC179BE"/>
    <w:rsid w:val="2C0E033F"/>
    <w:rsid w:val="2C13380B"/>
    <w:rsid w:val="2C5B7427"/>
    <w:rsid w:val="2CAB0320"/>
    <w:rsid w:val="2CB0263E"/>
    <w:rsid w:val="2D13578C"/>
    <w:rsid w:val="2D3C675D"/>
    <w:rsid w:val="2D960E01"/>
    <w:rsid w:val="2DC512C1"/>
    <w:rsid w:val="2ECE4A89"/>
    <w:rsid w:val="2EEB3ECB"/>
    <w:rsid w:val="2F4B41D2"/>
    <w:rsid w:val="2F893638"/>
    <w:rsid w:val="2F9A5FCC"/>
    <w:rsid w:val="2FBC5F92"/>
    <w:rsid w:val="2FD55F51"/>
    <w:rsid w:val="2FDE0777"/>
    <w:rsid w:val="2FE104EC"/>
    <w:rsid w:val="30350655"/>
    <w:rsid w:val="306B50FC"/>
    <w:rsid w:val="30730E37"/>
    <w:rsid w:val="3083606D"/>
    <w:rsid w:val="309161AB"/>
    <w:rsid w:val="30A85ED8"/>
    <w:rsid w:val="30EB524A"/>
    <w:rsid w:val="30F11747"/>
    <w:rsid w:val="311D7B96"/>
    <w:rsid w:val="3122424F"/>
    <w:rsid w:val="3168581A"/>
    <w:rsid w:val="3223715A"/>
    <w:rsid w:val="32454D73"/>
    <w:rsid w:val="326B739A"/>
    <w:rsid w:val="32D3237F"/>
    <w:rsid w:val="331217FF"/>
    <w:rsid w:val="3338475E"/>
    <w:rsid w:val="33804D41"/>
    <w:rsid w:val="33EA5D0B"/>
    <w:rsid w:val="33F00D0E"/>
    <w:rsid w:val="341359E2"/>
    <w:rsid w:val="34214C71"/>
    <w:rsid w:val="348A2CD0"/>
    <w:rsid w:val="353D61D5"/>
    <w:rsid w:val="35762E24"/>
    <w:rsid w:val="35D51CC1"/>
    <w:rsid w:val="35FF414A"/>
    <w:rsid w:val="36587B4D"/>
    <w:rsid w:val="3698058A"/>
    <w:rsid w:val="369D19AA"/>
    <w:rsid w:val="371E7849"/>
    <w:rsid w:val="37206361"/>
    <w:rsid w:val="372D1FC1"/>
    <w:rsid w:val="37930D8D"/>
    <w:rsid w:val="37C73E07"/>
    <w:rsid w:val="37FD5054"/>
    <w:rsid w:val="38055F79"/>
    <w:rsid w:val="38BB18EB"/>
    <w:rsid w:val="38E452E6"/>
    <w:rsid w:val="394915ED"/>
    <w:rsid w:val="395635DF"/>
    <w:rsid w:val="39847CE6"/>
    <w:rsid w:val="39B01F36"/>
    <w:rsid w:val="3A0D48E4"/>
    <w:rsid w:val="3A1460C1"/>
    <w:rsid w:val="3A634545"/>
    <w:rsid w:val="3A667F7C"/>
    <w:rsid w:val="3A673119"/>
    <w:rsid w:val="3A7379ED"/>
    <w:rsid w:val="3A845141"/>
    <w:rsid w:val="3A865F28"/>
    <w:rsid w:val="3AAF547F"/>
    <w:rsid w:val="3AEF7F72"/>
    <w:rsid w:val="3B5902C2"/>
    <w:rsid w:val="3B6D56B7"/>
    <w:rsid w:val="3B892174"/>
    <w:rsid w:val="3B90654D"/>
    <w:rsid w:val="3BA256E9"/>
    <w:rsid w:val="3BA35630"/>
    <w:rsid w:val="3BA7084C"/>
    <w:rsid w:val="3C033CD5"/>
    <w:rsid w:val="3CB52AF5"/>
    <w:rsid w:val="3CC82828"/>
    <w:rsid w:val="3CCB1C92"/>
    <w:rsid w:val="3CDD2778"/>
    <w:rsid w:val="3D2518C5"/>
    <w:rsid w:val="3D6048FD"/>
    <w:rsid w:val="3D864BBD"/>
    <w:rsid w:val="3DBE736E"/>
    <w:rsid w:val="3DC12D0A"/>
    <w:rsid w:val="3DCF7004"/>
    <w:rsid w:val="3DDB1411"/>
    <w:rsid w:val="3E753011"/>
    <w:rsid w:val="3EA90890"/>
    <w:rsid w:val="3F20042C"/>
    <w:rsid w:val="3F453C1E"/>
    <w:rsid w:val="3F4C7741"/>
    <w:rsid w:val="3F4F69F8"/>
    <w:rsid w:val="3F600A8B"/>
    <w:rsid w:val="3FA07A8C"/>
    <w:rsid w:val="3FED748A"/>
    <w:rsid w:val="40210715"/>
    <w:rsid w:val="40415288"/>
    <w:rsid w:val="407C4056"/>
    <w:rsid w:val="408A5443"/>
    <w:rsid w:val="40BB1E2E"/>
    <w:rsid w:val="40E1256E"/>
    <w:rsid w:val="42376881"/>
    <w:rsid w:val="42750D5C"/>
    <w:rsid w:val="437C7482"/>
    <w:rsid w:val="43880F63"/>
    <w:rsid w:val="43CA157C"/>
    <w:rsid w:val="43E918E1"/>
    <w:rsid w:val="44155AE3"/>
    <w:rsid w:val="443D7F72"/>
    <w:rsid w:val="44764150"/>
    <w:rsid w:val="4492597B"/>
    <w:rsid w:val="45033356"/>
    <w:rsid w:val="45F54BE3"/>
    <w:rsid w:val="461E33FF"/>
    <w:rsid w:val="4623731B"/>
    <w:rsid w:val="46335ED4"/>
    <w:rsid w:val="46D63D94"/>
    <w:rsid w:val="471F573B"/>
    <w:rsid w:val="479059EF"/>
    <w:rsid w:val="47EF3327"/>
    <w:rsid w:val="480F26E7"/>
    <w:rsid w:val="48223734"/>
    <w:rsid w:val="48594C7C"/>
    <w:rsid w:val="48C837CF"/>
    <w:rsid w:val="49344605"/>
    <w:rsid w:val="49990D4A"/>
    <w:rsid w:val="4A2B3D49"/>
    <w:rsid w:val="4A4702AB"/>
    <w:rsid w:val="4ACA56B2"/>
    <w:rsid w:val="4AEF57BE"/>
    <w:rsid w:val="4B111C8B"/>
    <w:rsid w:val="4B600CF3"/>
    <w:rsid w:val="4B944784"/>
    <w:rsid w:val="4BF316E3"/>
    <w:rsid w:val="4C67205E"/>
    <w:rsid w:val="4C83676C"/>
    <w:rsid w:val="4CA56E4F"/>
    <w:rsid w:val="4CF97C65"/>
    <w:rsid w:val="4D3E71B4"/>
    <w:rsid w:val="4DD3727F"/>
    <w:rsid w:val="4DE10F49"/>
    <w:rsid w:val="4E2E5D79"/>
    <w:rsid w:val="4E6525CD"/>
    <w:rsid w:val="4E97524A"/>
    <w:rsid w:val="4F174207"/>
    <w:rsid w:val="4F2C6C47"/>
    <w:rsid w:val="4F4D5A86"/>
    <w:rsid w:val="4F626628"/>
    <w:rsid w:val="4FD33566"/>
    <w:rsid w:val="4FDF668F"/>
    <w:rsid w:val="4FE10CA2"/>
    <w:rsid w:val="50084A38"/>
    <w:rsid w:val="507A413A"/>
    <w:rsid w:val="507C074A"/>
    <w:rsid w:val="510838C4"/>
    <w:rsid w:val="511A45C5"/>
    <w:rsid w:val="514C537E"/>
    <w:rsid w:val="51810ACE"/>
    <w:rsid w:val="51A41A56"/>
    <w:rsid w:val="51E46C82"/>
    <w:rsid w:val="52DB4C0C"/>
    <w:rsid w:val="52E669FA"/>
    <w:rsid w:val="53222FD4"/>
    <w:rsid w:val="53452B9D"/>
    <w:rsid w:val="54161C73"/>
    <w:rsid w:val="543E054C"/>
    <w:rsid w:val="543E66F3"/>
    <w:rsid w:val="55805088"/>
    <w:rsid w:val="55B95D86"/>
    <w:rsid w:val="55D9206E"/>
    <w:rsid w:val="55EF5819"/>
    <w:rsid w:val="564E192B"/>
    <w:rsid w:val="566859AF"/>
    <w:rsid w:val="566B44F9"/>
    <w:rsid w:val="5697228A"/>
    <w:rsid w:val="56B70B57"/>
    <w:rsid w:val="56E535DA"/>
    <w:rsid w:val="56F853E0"/>
    <w:rsid w:val="57086048"/>
    <w:rsid w:val="572345A1"/>
    <w:rsid w:val="57E45BF4"/>
    <w:rsid w:val="585216EC"/>
    <w:rsid w:val="58675193"/>
    <w:rsid w:val="58E81ECC"/>
    <w:rsid w:val="592C33B9"/>
    <w:rsid w:val="59536686"/>
    <w:rsid w:val="59747B49"/>
    <w:rsid w:val="59AD1935"/>
    <w:rsid w:val="5A601E9A"/>
    <w:rsid w:val="5AB1171C"/>
    <w:rsid w:val="5AC87D9B"/>
    <w:rsid w:val="5AD46861"/>
    <w:rsid w:val="5B115127"/>
    <w:rsid w:val="5B7019D4"/>
    <w:rsid w:val="5BED30BF"/>
    <w:rsid w:val="5BF5560E"/>
    <w:rsid w:val="5C07081F"/>
    <w:rsid w:val="5C4E1BEB"/>
    <w:rsid w:val="5C7D20F2"/>
    <w:rsid w:val="5CAA564F"/>
    <w:rsid w:val="5CE15514"/>
    <w:rsid w:val="5CEF64F6"/>
    <w:rsid w:val="5CFF1E3E"/>
    <w:rsid w:val="5D505750"/>
    <w:rsid w:val="5D76237F"/>
    <w:rsid w:val="5DA71487"/>
    <w:rsid w:val="5DAF6297"/>
    <w:rsid w:val="5DD042A4"/>
    <w:rsid w:val="5DEF2CAC"/>
    <w:rsid w:val="5E441F20"/>
    <w:rsid w:val="5E702A95"/>
    <w:rsid w:val="5E927EE6"/>
    <w:rsid w:val="5F6F3658"/>
    <w:rsid w:val="5F7C7776"/>
    <w:rsid w:val="60076B58"/>
    <w:rsid w:val="606635B7"/>
    <w:rsid w:val="606E1CFF"/>
    <w:rsid w:val="60A8014F"/>
    <w:rsid w:val="613C5419"/>
    <w:rsid w:val="6148266D"/>
    <w:rsid w:val="62324A96"/>
    <w:rsid w:val="628C5A67"/>
    <w:rsid w:val="629D3C8C"/>
    <w:rsid w:val="62E00045"/>
    <w:rsid w:val="632E6E5F"/>
    <w:rsid w:val="637847E3"/>
    <w:rsid w:val="63CC1360"/>
    <w:rsid w:val="64117A5B"/>
    <w:rsid w:val="64590086"/>
    <w:rsid w:val="646B7CF6"/>
    <w:rsid w:val="647B0128"/>
    <w:rsid w:val="64B34D12"/>
    <w:rsid w:val="653308D7"/>
    <w:rsid w:val="65CC62CA"/>
    <w:rsid w:val="6636339A"/>
    <w:rsid w:val="668A6466"/>
    <w:rsid w:val="66BF00FF"/>
    <w:rsid w:val="66FE3167"/>
    <w:rsid w:val="670C27B5"/>
    <w:rsid w:val="67360FA6"/>
    <w:rsid w:val="67927308"/>
    <w:rsid w:val="67C22BC3"/>
    <w:rsid w:val="67CA414B"/>
    <w:rsid w:val="68256943"/>
    <w:rsid w:val="68774F7F"/>
    <w:rsid w:val="688D19A9"/>
    <w:rsid w:val="68C63B8D"/>
    <w:rsid w:val="69242AFE"/>
    <w:rsid w:val="6A095690"/>
    <w:rsid w:val="6A543314"/>
    <w:rsid w:val="6A7C484E"/>
    <w:rsid w:val="6AFF1E9B"/>
    <w:rsid w:val="6B5A4EA4"/>
    <w:rsid w:val="6B7617D7"/>
    <w:rsid w:val="6B7C455F"/>
    <w:rsid w:val="6B951B52"/>
    <w:rsid w:val="6BAC3191"/>
    <w:rsid w:val="6BBE13B4"/>
    <w:rsid w:val="6BD46244"/>
    <w:rsid w:val="6C141B76"/>
    <w:rsid w:val="6C294FF9"/>
    <w:rsid w:val="6C681E3D"/>
    <w:rsid w:val="6CA034B2"/>
    <w:rsid w:val="6CBE13CE"/>
    <w:rsid w:val="6CDD63AD"/>
    <w:rsid w:val="6CDF3526"/>
    <w:rsid w:val="6CF9419C"/>
    <w:rsid w:val="6D386A1A"/>
    <w:rsid w:val="6D3F443D"/>
    <w:rsid w:val="6DAA462E"/>
    <w:rsid w:val="6DAB0280"/>
    <w:rsid w:val="6DE06F3E"/>
    <w:rsid w:val="6E0C07D1"/>
    <w:rsid w:val="6E0E0133"/>
    <w:rsid w:val="6E160D96"/>
    <w:rsid w:val="6E2711F5"/>
    <w:rsid w:val="6E3D1D31"/>
    <w:rsid w:val="6F0230C8"/>
    <w:rsid w:val="6F3430C2"/>
    <w:rsid w:val="6F7B75B8"/>
    <w:rsid w:val="6F847DBE"/>
    <w:rsid w:val="6FE57CB0"/>
    <w:rsid w:val="70876749"/>
    <w:rsid w:val="70B54896"/>
    <w:rsid w:val="70DF2C02"/>
    <w:rsid w:val="71031848"/>
    <w:rsid w:val="71A022C9"/>
    <w:rsid w:val="71BE59CD"/>
    <w:rsid w:val="71DC5E53"/>
    <w:rsid w:val="71FB781B"/>
    <w:rsid w:val="722D5109"/>
    <w:rsid w:val="722F34F0"/>
    <w:rsid w:val="72A921D9"/>
    <w:rsid w:val="730A32BE"/>
    <w:rsid w:val="73345D5F"/>
    <w:rsid w:val="734B0FCB"/>
    <w:rsid w:val="737C3589"/>
    <w:rsid w:val="737D6D55"/>
    <w:rsid w:val="73896DD6"/>
    <w:rsid w:val="73C202A1"/>
    <w:rsid w:val="740A44FF"/>
    <w:rsid w:val="742525FA"/>
    <w:rsid w:val="742662D7"/>
    <w:rsid w:val="74365A66"/>
    <w:rsid w:val="746E722A"/>
    <w:rsid w:val="74B60BDD"/>
    <w:rsid w:val="74D409A9"/>
    <w:rsid w:val="74DC6AB5"/>
    <w:rsid w:val="74FC7BDE"/>
    <w:rsid w:val="756B594D"/>
    <w:rsid w:val="75BE5F9B"/>
    <w:rsid w:val="75F02D47"/>
    <w:rsid w:val="76195DD6"/>
    <w:rsid w:val="768E4BCA"/>
    <w:rsid w:val="770110A1"/>
    <w:rsid w:val="77A81AC6"/>
    <w:rsid w:val="780340CB"/>
    <w:rsid w:val="78056103"/>
    <w:rsid w:val="78177082"/>
    <w:rsid w:val="7839178E"/>
    <w:rsid w:val="787352C6"/>
    <w:rsid w:val="78874D6A"/>
    <w:rsid w:val="78BA0F21"/>
    <w:rsid w:val="790B11E8"/>
    <w:rsid w:val="794F4242"/>
    <w:rsid w:val="79A100AE"/>
    <w:rsid w:val="79D7229C"/>
    <w:rsid w:val="7A3031E0"/>
    <w:rsid w:val="7A3C0679"/>
    <w:rsid w:val="7A8821DD"/>
    <w:rsid w:val="7AD26045"/>
    <w:rsid w:val="7B767318"/>
    <w:rsid w:val="7B7C4096"/>
    <w:rsid w:val="7CD02F2E"/>
    <w:rsid w:val="7CF10940"/>
    <w:rsid w:val="7D464386"/>
    <w:rsid w:val="7D627399"/>
    <w:rsid w:val="7D6C7745"/>
    <w:rsid w:val="7D9D2EC1"/>
    <w:rsid w:val="7DB5094D"/>
    <w:rsid w:val="7DBE6769"/>
    <w:rsid w:val="7E9006F1"/>
    <w:rsid w:val="7EB0506A"/>
    <w:rsid w:val="7F1873C3"/>
    <w:rsid w:val="7F1F5B28"/>
    <w:rsid w:val="7F4514DB"/>
    <w:rsid w:val="7F674D76"/>
    <w:rsid w:val="7F900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autoRedefine/>
    <w:qFormat/>
    <w:uiPriority w:val="1"/>
    <w:pPr>
      <w:ind w:left="100"/>
      <w:outlineLvl w:val="0"/>
    </w:pPr>
    <w:rPr>
      <w:rFonts w:ascii="宋体" w:hAnsi="宋体" w:eastAsia="宋体"/>
      <w:sz w:val="36"/>
      <w:szCs w:val="36"/>
    </w:rPr>
  </w:style>
  <w:style w:type="paragraph" w:styleId="3">
    <w:name w:val="heading 2"/>
    <w:basedOn w:val="1"/>
    <w:next w:val="1"/>
    <w:autoRedefine/>
    <w:qFormat/>
    <w:uiPriority w:val="1"/>
    <w:pPr>
      <w:ind w:left="-21" w:firstLine="2592"/>
      <w:outlineLvl w:val="1"/>
    </w:pPr>
    <w:rPr>
      <w:rFonts w:ascii="宋体" w:hAnsi="宋体" w:eastAsia="宋体"/>
      <w:sz w:val="32"/>
      <w:szCs w:val="32"/>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0"/>
    <w:autoRedefine/>
    <w:semiHidden/>
    <w:unhideWhenUsed/>
    <w:qFormat/>
    <w:uiPriority w:val="99"/>
  </w:style>
  <w:style w:type="paragraph" w:styleId="5">
    <w:name w:val="Body Text"/>
    <w:basedOn w:val="1"/>
    <w:autoRedefine/>
    <w:qFormat/>
    <w:uiPriority w:val="1"/>
    <w:pPr>
      <w:spacing w:before="207"/>
      <w:ind w:left="120"/>
    </w:pPr>
    <w:rPr>
      <w:rFonts w:ascii="宋体" w:hAnsi="宋体" w:eastAsia="宋体"/>
      <w:sz w:val="30"/>
      <w:szCs w:val="30"/>
    </w:rPr>
  </w:style>
  <w:style w:type="paragraph" w:styleId="6">
    <w:name w:val="Balloon Text"/>
    <w:basedOn w:val="1"/>
    <w:link w:val="22"/>
    <w:autoRedefine/>
    <w:semiHidden/>
    <w:unhideWhenUsed/>
    <w:qFormat/>
    <w:uiPriority w:val="99"/>
    <w:rPr>
      <w:sz w:val="18"/>
      <w:szCs w:val="18"/>
    </w:rPr>
  </w:style>
  <w:style w:type="paragraph" w:styleId="7">
    <w:name w:val="footer"/>
    <w:basedOn w:val="1"/>
    <w:link w:val="19"/>
    <w:autoRedefine/>
    <w:unhideWhenUsed/>
    <w:qFormat/>
    <w:uiPriority w:val="99"/>
    <w:pPr>
      <w:tabs>
        <w:tab w:val="center" w:pos="4153"/>
        <w:tab w:val="right" w:pos="8306"/>
      </w:tabs>
      <w:snapToGrid w:val="0"/>
    </w:pPr>
    <w:rPr>
      <w:sz w:val="18"/>
      <w:szCs w:val="18"/>
    </w:rPr>
  </w:style>
  <w:style w:type="paragraph" w:styleId="8">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21"/>
    <w:autoRedefine/>
    <w:semiHidden/>
    <w:unhideWhenUsed/>
    <w:qFormat/>
    <w:uiPriority w:val="99"/>
    <w:rPr>
      <w:b/>
      <w:bCs/>
    </w:rPr>
  </w:style>
  <w:style w:type="table" w:styleId="11">
    <w:name w:val="Table Grid"/>
    <w:basedOn w:val="1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autoRedefine/>
    <w:semiHidden/>
    <w:unhideWhenUsed/>
    <w:qFormat/>
    <w:uiPriority w:val="99"/>
    <w:rPr>
      <w:sz w:val="21"/>
      <w:szCs w:val="21"/>
    </w:rPr>
  </w:style>
  <w:style w:type="table" w:customStyle="1" w:styleId="14">
    <w:name w:val="Table Normal"/>
    <w:autoRedefine/>
    <w:semiHidden/>
    <w:unhideWhenUsed/>
    <w:qFormat/>
    <w:uiPriority w:val="2"/>
    <w:tblPr>
      <w:tblCellMar>
        <w:top w:w="0" w:type="dxa"/>
        <w:left w:w="0" w:type="dxa"/>
        <w:bottom w:w="0" w:type="dxa"/>
        <w:right w:w="0" w:type="dxa"/>
      </w:tblCellMar>
    </w:tblPr>
  </w:style>
  <w:style w:type="paragraph" w:styleId="15">
    <w:name w:val="List Paragraph"/>
    <w:basedOn w:val="1"/>
    <w:autoRedefine/>
    <w:qFormat/>
    <w:uiPriority w:val="1"/>
  </w:style>
  <w:style w:type="paragraph" w:customStyle="1" w:styleId="16">
    <w:name w:val="Table Paragraph"/>
    <w:basedOn w:val="1"/>
    <w:autoRedefine/>
    <w:qFormat/>
    <w:uiPriority w:val="1"/>
  </w:style>
  <w:style w:type="paragraph" w:customStyle="1" w:styleId="17">
    <w:name w:val="Default"/>
    <w:autoRedefine/>
    <w:qFormat/>
    <w:uiPriority w:val="0"/>
    <w:pPr>
      <w:widowControl w:val="0"/>
      <w:autoSpaceDE w:val="0"/>
      <w:autoSpaceDN w:val="0"/>
      <w:adjustRightInd w:val="0"/>
    </w:pPr>
    <w:rPr>
      <w:rFonts w:ascii="方正黑体_GBK" w:hAnsi="方正黑体_GBK" w:cs="方正黑体_GBK" w:eastAsiaTheme="minorEastAsia"/>
      <w:color w:val="000000"/>
      <w:sz w:val="24"/>
      <w:szCs w:val="24"/>
      <w:lang w:val="en-US" w:eastAsia="en-US" w:bidi="ar-SA"/>
    </w:rPr>
  </w:style>
  <w:style w:type="character" w:customStyle="1" w:styleId="18">
    <w:name w:val="页眉 字符"/>
    <w:basedOn w:val="12"/>
    <w:link w:val="8"/>
    <w:autoRedefine/>
    <w:qFormat/>
    <w:uiPriority w:val="99"/>
    <w:rPr>
      <w:sz w:val="18"/>
      <w:szCs w:val="18"/>
    </w:rPr>
  </w:style>
  <w:style w:type="character" w:customStyle="1" w:styleId="19">
    <w:name w:val="页脚 字符"/>
    <w:basedOn w:val="12"/>
    <w:link w:val="7"/>
    <w:autoRedefine/>
    <w:qFormat/>
    <w:uiPriority w:val="99"/>
    <w:rPr>
      <w:sz w:val="18"/>
      <w:szCs w:val="18"/>
    </w:rPr>
  </w:style>
  <w:style w:type="character" w:customStyle="1" w:styleId="20">
    <w:name w:val="批注文字 字符"/>
    <w:basedOn w:val="12"/>
    <w:link w:val="4"/>
    <w:autoRedefine/>
    <w:semiHidden/>
    <w:qFormat/>
    <w:uiPriority w:val="99"/>
    <w:rPr>
      <w:rFonts w:asciiTheme="minorHAnsi" w:hAnsiTheme="minorHAnsi" w:eastAsiaTheme="minorEastAsia" w:cstheme="minorBidi"/>
      <w:sz w:val="22"/>
      <w:szCs w:val="22"/>
      <w:lang w:eastAsia="en-US"/>
    </w:rPr>
  </w:style>
  <w:style w:type="character" w:customStyle="1" w:styleId="21">
    <w:name w:val="批注主题 字符"/>
    <w:basedOn w:val="20"/>
    <w:link w:val="9"/>
    <w:autoRedefine/>
    <w:semiHidden/>
    <w:qFormat/>
    <w:uiPriority w:val="99"/>
    <w:rPr>
      <w:rFonts w:asciiTheme="minorHAnsi" w:hAnsiTheme="minorHAnsi" w:eastAsiaTheme="minorEastAsia" w:cstheme="minorBidi"/>
      <w:b/>
      <w:bCs/>
      <w:sz w:val="22"/>
      <w:szCs w:val="22"/>
      <w:lang w:eastAsia="en-US"/>
    </w:rPr>
  </w:style>
  <w:style w:type="character" w:customStyle="1" w:styleId="22">
    <w:name w:val="批注框文本 字符"/>
    <w:basedOn w:val="12"/>
    <w:link w:val="6"/>
    <w:autoRedefine/>
    <w:semiHidden/>
    <w:qFormat/>
    <w:uiPriority w:val="99"/>
    <w:rPr>
      <w:rFonts w:asciiTheme="minorHAnsi" w:hAnsiTheme="minorHAnsi" w:eastAsiaTheme="minorEastAsia" w:cstheme="minorBidi"/>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4552</Words>
  <Characters>4649</Characters>
  <Lines>61</Lines>
  <Paragraphs>17</Paragraphs>
  <TotalTime>40</TotalTime>
  <ScaleCrop>false</ScaleCrop>
  <LinksUpToDate>false</LinksUpToDate>
  <CharactersWithSpaces>4690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2021-08-19T09:37:00Z</dcterms:created>
  <dc:creator>张肖军(拟稿)</dc:creator>
  <cp:lastModifiedBy>WT</cp:lastModifiedBy>
  <cp:lastPrinted>2023-03-01T23:47:00Z</cp:lastPrinted>
  <dcterms:modified xsi:type="dcterms:W3CDTF">2024-06-04T00:51:07Z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Adobe Acrobat Pro 11.0.7</vt:lpwstr>
  </property>
  <property fmtid="{D5CDD505-2E9C-101B-9397-08002B2CF9AE}" pid="4" name="LastSaved">
    <vt:filetime>2021-08-19T00:00:00Z</vt:filetime>
  </property>
  <property fmtid="{D5CDD505-2E9C-101B-9397-08002B2CF9AE}" pid="5" name="KSOProductBuildVer">
    <vt:lpwstr>2052-12.1.0.16929</vt:lpwstr>
  </property>
  <property fmtid="{D5CDD505-2E9C-101B-9397-08002B2CF9AE}" pid="6" name="ICV">
    <vt:lpwstr>6110B7415DC740C58185CD86345CBEB1</vt:lpwstr>
  </property>
  <property fmtid="{D5CDD505-2E9C-101B-9397-08002B2CF9AE}" pid="7" name="commondata">
    <vt:lpwstr>eyJoZGlkIjoiMTIwOGJlM2MwYTQ1ZjViODE0ZDU4ODIwMzJjNGNiY2IifQ==</vt:lpwstr>
  </property>
</Properties>
</file>