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 w:line="574" w:lineRule="exact"/>
        <w:ind w:left="120"/>
        <w:rPr>
          <w:rFonts w:ascii="宋体" w:hAnsi="宋体" w:eastAsia="宋体" w:cs="宋体"/>
          <w:sz w:val="32"/>
          <w:szCs w:val="32"/>
          <w:lang w:eastAsia="zh-CN"/>
        </w:rPr>
      </w:pPr>
      <w:r>
        <w:rPr>
          <w:rFonts w:hint="eastAsia" w:ascii="宋体" w:hAnsi="宋体" w:eastAsia="宋体" w:cs="宋体"/>
          <w:sz w:val="32"/>
          <w:szCs w:val="32"/>
          <w:lang w:eastAsia="zh-CN"/>
        </w:rPr>
        <w:t>附件7</w:t>
      </w:r>
    </w:p>
    <w:p>
      <w:pPr>
        <w:spacing w:before="2" w:line="574" w:lineRule="exact"/>
        <w:rPr>
          <w:rFonts w:ascii="宋体" w:hAnsi="宋体" w:eastAsia="宋体" w:cs="宋体"/>
          <w:sz w:val="27"/>
          <w:szCs w:val="27"/>
          <w:lang w:eastAsia="zh-CN"/>
        </w:rPr>
      </w:pPr>
    </w:p>
    <w:p>
      <w:pPr>
        <w:spacing w:line="574" w:lineRule="exact"/>
        <w:jc w:val="center"/>
        <w:rPr>
          <w:rFonts w:ascii="宋体" w:hAnsi="宋体" w:eastAsia="宋体" w:cs="宋体"/>
          <w:sz w:val="44"/>
          <w:szCs w:val="44"/>
          <w:lang w:eastAsia="zh-CN"/>
        </w:rPr>
      </w:pPr>
      <w:r>
        <w:rPr>
          <w:rFonts w:hint="eastAsia" w:ascii="宋体" w:hAnsi="宋体" w:eastAsia="宋体" w:cs="宋体"/>
          <w:sz w:val="44"/>
          <w:szCs w:val="44"/>
          <w:lang w:eastAsia="zh-CN"/>
        </w:rPr>
        <w:t>江苏省政府专项债券项目绩效自评价报告</w:t>
      </w:r>
    </w:p>
    <w:p>
      <w:pPr>
        <w:spacing w:line="574" w:lineRule="exact"/>
        <w:jc w:val="center"/>
        <w:rPr>
          <w:rFonts w:ascii="宋体" w:hAnsi="宋体" w:eastAsia="宋体" w:cs="宋体"/>
          <w:sz w:val="30"/>
          <w:szCs w:val="30"/>
          <w:lang w:eastAsia="zh-CN"/>
        </w:rPr>
      </w:pPr>
    </w:p>
    <w:p>
      <w:pPr>
        <w:spacing w:line="574" w:lineRule="exact"/>
        <w:ind w:firstLine="602" w:firstLineChars="200"/>
        <w:jc w:val="both"/>
        <w:rPr>
          <w:rFonts w:ascii="宋体" w:hAnsi="宋体" w:eastAsia="宋体" w:cs="宋体"/>
          <w:b/>
          <w:bCs/>
          <w:sz w:val="30"/>
          <w:szCs w:val="30"/>
          <w:lang w:eastAsia="zh-CN"/>
        </w:rPr>
      </w:pPr>
      <w:r>
        <w:rPr>
          <w:rFonts w:hint="eastAsia" w:ascii="宋体" w:hAnsi="宋体" w:eastAsia="宋体" w:cs="宋体"/>
          <w:b/>
          <w:bCs/>
          <w:sz w:val="30"/>
          <w:szCs w:val="30"/>
          <w:lang w:eastAsia="zh-CN"/>
        </w:rPr>
        <w:t>一、项目情况</w:t>
      </w:r>
    </w:p>
    <w:p>
      <w:pPr>
        <w:spacing w:line="574" w:lineRule="exact"/>
        <w:ind w:firstLine="584" w:firstLineChars="200"/>
        <w:jc w:val="both"/>
        <w:rPr>
          <w:rFonts w:ascii="宋体" w:hAnsi="宋体" w:eastAsia="宋体" w:cs="宋体"/>
          <w:spacing w:val="-4"/>
          <w:sz w:val="30"/>
          <w:szCs w:val="30"/>
          <w:lang w:eastAsia="zh-CN"/>
        </w:rPr>
      </w:pPr>
      <w:r>
        <w:rPr>
          <w:rFonts w:hint="eastAsia" w:ascii="宋体" w:hAnsi="宋体" w:eastAsia="宋体" w:cs="宋体"/>
          <w:spacing w:val="-4"/>
          <w:sz w:val="30"/>
          <w:szCs w:val="30"/>
          <w:lang w:eastAsia="zh-CN"/>
        </w:rPr>
        <w:t>（一）项目概况</w:t>
      </w:r>
    </w:p>
    <w:p>
      <w:pPr>
        <w:spacing w:line="574" w:lineRule="exact"/>
        <w:ind w:firstLine="600" w:firstLineChars="200"/>
        <w:jc w:val="both"/>
        <w:rPr>
          <w:rFonts w:hint="eastAsia"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为了加强公共卫生体系建设，提升公共医疗服务水平，实施溧阳市医疗健康中心项目。项目建设单位为溧阳市交通建设发展有限公司。</w:t>
      </w:r>
    </w:p>
    <w:p>
      <w:pPr>
        <w:spacing w:line="574" w:lineRule="exact"/>
        <w:ind w:firstLine="600" w:firstLineChars="200"/>
        <w:jc w:val="both"/>
        <w:rPr>
          <w:rFonts w:hint="eastAsia"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根据溧阳市发展和改革委员会《关于溧阳市医疗健康中心项目可行性研究报告的批复》（溧发改〔</w:t>
      </w:r>
      <w:r>
        <w:rPr>
          <w:rFonts w:hint="eastAsia" w:ascii="宋体" w:hAnsi="宋体" w:eastAsia="宋体" w:cs="宋体"/>
          <w:sz w:val="30"/>
          <w:szCs w:val="30"/>
          <w:highlight w:val="none"/>
          <w:lang w:val="en-US" w:eastAsia="zh-CN"/>
        </w:rPr>
        <w:t>2020</w:t>
      </w:r>
      <w:r>
        <w:rPr>
          <w:rFonts w:hint="eastAsia" w:ascii="宋体" w:hAnsi="宋体" w:eastAsia="宋体" w:cs="宋体"/>
          <w:sz w:val="30"/>
          <w:szCs w:val="30"/>
          <w:highlight w:val="none"/>
          <w:lang w:eastAsia="zh-CN"/>
        </w:rPr>
        <w:t>〕</w:t>
      </w:r>
      <w:r>
        <w:rPr>
          <w:rFonts w:hint="eastAsia" w:ascii="宋体" w:hAnsi="宋体" w:eastAsia="宋体" w:cs="宋体"/>
          <w:sz w:val="30"/>
          <w:szCs w:val="30"/>
          <w:highlight w:val="none"/>
          <w:lang w:val="en-US" w:eastAsia="zh-CN"/>
        </w:rPr>
        <w:t>398</w:t>
      </w:r>
      <w:r>
        <w:rPr>
          <w:rFonts w:hint="eastAsia" w:ascii="宋体" w:hAnsi="宋体" w:eastAsia="宋体" w:cs="宋体"/>
          <w:sz w:val="30"/>
          <w:szCs w:val="30"/>
          <w:highlight w:val="none"/>
          <w:lang w:eastAsia="zh-CN"/>
        </w:rPr>
        <w:t>号文），本项目建设地址位于溧阳市“生命康原”规划区，北临滨河路，南临茶亭路，西临学府路，东临华清路。项目规划用地面积约185168平方米，建筑面积约270000 平方米（其中：医院地上建筑面积约120000平方米，医院地下建筑面积约80000平方米，配套建筑面积约70000平方米）。主要建设内容包括：新建医院主楼（包括门诊、医技、病区、综合应急就诊中心等）、综合配套（包括康复中心、月子中心、养老中心、体检中心等），以及绿化、道路、停车位、水电气等相关配套设施。</w:t>
      </w:r>
    </w:p>
    <w:p>
      <w:pPr>
        <w:spacing w:line="574" w:lineRule="exact"/>
        <w:ind w:firstLine="600" w:firstLineChars="200"/>
        <w:jc w:val="both"/>
        <w:rPr>
          <w:rFonts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本项目估算总投资</w:t>
      </w:r>
      <w:r>
        <w:rPr>
          <w:rFonts w:hint="eastAsia" w:ascii="宋体" w:hAnsi="宋体" w:eastAsia="宋体" w:cs="宋体"/>
          <w:sz w:val="30"/>
          <w:szCs w:val="30"/>
          <w:highlight w:val="none"/>
          <w:lang w:val="en-US" w:eastAsia="zh-CN"/>
        </w:rPr>
        <w:t>194320</w:t>
      </w:r>
      <w:r>
        <w:rPr>
          <w:rFonts w:hint="eastAsia" w:ascii="宋体" w:hAnsi="宋体" w:eastAsia="宋体" w:cs="宋体"/>
          <w:sz w:val="30"/>
          <w:szCs w:val="30"/>
          <w:highlight w:val="none"/>
          <w:lang w:eastAsia="zh-CN"/>
        </w:rPr>
        <w:t>万元，建设单位自筹资金</w:t>
      </w:r>
      <w:r>
        <w:rPr>
          <w:rFonts w:hint="eastAsia" w:ascii="宋体" w:hAnsi="宋体" w:eastAsia="宋体" w:cs="宋体"/>
          <w:sz w:val="30"/>
          <w:szCs w:val="30"/>
          <w:highlight w:val="none"/>
          <w:lang w:val="en-US" w:eastAsia="zh-CN"/>
        </w:rPr>
        <w:t>38920</w:t>
      </w:r>
      <w:r>
        <w:rPr>
          <w:rFonts w:hint="eastAsia" w:ascii="宋体" w:hAnsi="宋体" w:eastAsia="宋体" w:cs="宋体"/>
          <w:sz w:val="30"/>
          <w:szCs w:val="30"/>
          <w:highlight w:val="none"/>
          <w:lang w:eastAsia="zh-CN"/>
        </w:rPr>
        <w:t>万元，申请地方政府专项债券资金</w:t>
      </w:r>
      <w:r>
        <w:rPr>
          <w:rFonts w:hint="eastAsia" w:ascii="宋体" w:hAnsi="宋体" w:eastAsia="宋体" w:cs="宋体"/>
          <w:sz w:val="30"/>
          <w:szCs w:val="30"/>
          <w:highlight w:val="none"/>
          <w:lang w:val="en-US" w:eastAsia="zh-CN"/>
        </w:rPr>
        <w:t>155400</w:t>
      </w:r>
      <w:r>
        <w:rPr>
          <w:rFonts w:hint="eastAsia" w:ascii="宋体" w:hAnsi="宋体" w:eastAsia="宋体" w:cs="宋体"/>
          <w:sz w:val="30"/>
          <w:szCs w:val="30"/>
          <w:highlight w:val="none"/>
          <w:lang w:eastAsia="zh-CN"/>
        </w:rPr>
        <w:t>万元，</w:t>
      </w:r>
      <w:r>
        <w:rPr>
          <w:rFonts w:hint="eastAsia" w:ascii="宋体" w:hAnsi="宋体" w:eastAsia="宋体" w:cs="宋体"/>
          <w:sz w:val="30"/>
          <w:szCs w:val="30"/>
          <w:highlight w:val="none"/>
          <w:lang w:val="en-US" w:eastAsia="zh-CN"/>
        </w:rPr>
        <w:t>以往年度已发行债券金额150000万元，</w:t>
      </w:r>
      <w:r>
        <w:rPr>
          <w:rFonts w:hint="eastAsia" w:ascii="宋体" w:hAnsi="宋体" w:eastAsia="宋体" w:cs="宋体"/>
          <w:sz w:val="30"/>
          <w:szCs w:val="30"/>
          <w:highlight w:val="none"/>
          <w:lang w:eastAsia="zh-CN"/>
        </w:rPr>
        <w:t>2023年发行债券</w:t>
      </w:r>
      <w:r>
        <w:rPr>
          <w:rFonts w:hint="eastAsia" w:ascii="宋体" w:hAnsi="宋体" w:eastAsia="宋体" w:cs="宋体"/>
          <w:sz w:val="30"/>
          <w:szCs w:val="30"/>
          <w:highlight w:val="none"/>
          <w:lang w:val="en-US" w:eastAsia="zh-CN"/>
        </w:rPr>
        <w:t>5400</w:t>
      </w:r>
      <w:r>
        <w:rPr>
          <w:rFonts w:hint="eastAsia" w:ascii="宋体" w:hAnsi="宋体" w:eastAsia="宋体" w:cs="宋体"/>
          <w:sz w:val="30"/>
          <w:szCs w:val="30"/>
          <w:highlight w:val="none"/>
          <w:lang w:eastAsia="zh-CN"/>
        </w:rPr>
        <w:t>万元。</w:t>
      </w:r>
    </w:p>
    <w:p>
      <w:pPr>
        <w:numPr>
          <w:ilvl w:val="0"/>
          <w:numId w:val="1"/>
        </w:numPr>
        <w:spacing w:line="574" w:lineRule="exact"/>
        <w:ind w:firstLine="600"/>
        <w:jc w:val="both"/>
        <w:rPr>
          <w:rFonts w:ascii="宋体" w:hAnsi="宋体" w:eastAsia="宋体" w:cs="宋体"/>
          <w:sz w:val="30"/>
          <w:szCs w:val="30"/>
          <w:lang w:eastAsia="zh-CN"/>
        </w:rPr>
      </w:pPr>
      <w:r>
        <w:rPr>
          <w:rFonts w:hint="eastAsia" w:ascii="宋体" w:hAnsi="宋体" w:eastAsia="宋体" w:cs="宋体"/>
          <w:sz w:val="30"/>
          <w:szCs w:val="30"/>
          <w:lang w:eastAsia="zh-CN"/>
        </w:rPr>
        <w:t>绩效目标</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1、项目绩效总体目标</w:t>
      </w:r>
    </w:p>
    <w:p>
      <w:pPr>
        <w:spacing w:line="574" w:lineRule="exact"/>
        <w:ind w:firstLine="600" w:firstLineChars="200"/>
        <w:jc w:val="both"/>
        <w:rPr>
          <w:rFonts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正确处理资源保护与开发的关系，加强生态环境保护和建设，坚持走可持续发展道路；并与城市建设、道路交通、环境保护等专项规划相衔接。</w:t>
      </w:r>
    </w:p>
    <w:p>
      <w:pPr>
        <w:numPr>
          <w:ilvl w:val="0"/>
          <w:numId w:val="2"/>
        </w:num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项目绩效阶段性目标</w:t>
      </w:r>
    </w:p>
    <w:p>
      <w:pPr>
        <w:numPr>
          <w:ilvl w:val="0"/>
          <w:numId w:val="0"/>
        </w:numPr>
        <w:spacing w:line="574" w:lineRule="exact"/>
        <w:ind w:left="598" w:leftChars="272" w:firstLine="0" w:firstLineChars="0"/>
        <w:jc w:val="both"/>
        <w:rPr>
          <w:rFonts w:hint="eastAsia" w:ascii="宋体" w:hAnsi="宋体" w:eastAsia="宋体" w:cs="宋体"/>
          <w:sz w:val="30"/>
          <w:szCs w:val="30"/>
          <w:lang w:eastAsia="zh-CN"/>
        </w:rPr>
      </w:pPr>
      <w:r>
        <w:rPr>
          <w:rFonts w:hint="eastAsia" w:ascii="宋体" w:hAnsi="宋体" w:eastAsia="宋体" w:cs="宋体"/>
          <w:sz w:val="30"/>
          <w:szCs w:val="30"/>
          <w:lang w:eastAsia="zh-CN"/>
        </w:rPr>
        <w:t>目标1：保证安装工程、装修工程、医疗专项工程完成工程量进度。</w:t>
      </w:r>
    </w:p>
    <w:p>
      <w:pPr>
        <w:numPr>
          <w:ilvl w:val="0"/>
          <w:numId w:val="0"/>
        </w:numPr>
        <w:spacing w:line="574" w:lineRule="exact"/>
        <w:ind w:firstLine="600" w:firstLineChars="200"/>
        <w:jc w:val="both"/>
        <w:rPr>
          <w:rFonts w:hint="eastAsia" w:ascii="宋体" w:hAnsi="宋体" w:eastAsia="宋体" w:cs="宋体"/>
          <w:sz w:val="30"/>
          <w:szCs w:val="30"/>
          <w:lang w:eastAsia="zh-CN"/>
        </w:rPr>
      </w:pPr>
      <w:r>
        <w:rPr>
          <w:rFonts w:hint="eastAsia" w:ascii="宋体" w:hAnsi="宋体" w:eastAsia="宋体" w:cs="宋体"/>
          <w:sz w:val="30"/>
          <w:szCs w:val="30"/>
          <w:lang w:eastAsia="zh-CN"/>
        </w:rPr>
        <w:t>目标2：保证外立面装饰（幕墙、外窗等）收尾工作进度，保障室外景观绿化工程施工稳步进行。</w:t>
      </w:r>
    </w:p>
    <w:p>
      <w:pPr>
        <w:spacing w:line="574" w:lineRule="exact"/>
        <w:ind w:firstLine="602" w:firstLineChars="200"/>
        <w:jc w:val="both"/>
        <w:rPr>
          <w:rFonts w:ascii="宋体" w:hAnsi="宋体" w:eastAsia="宋体" w:cs="宋体"/>
          <w:b/>
          <w:bCs/>
          <w:sz w:val="30"/>
          <w:szCs w:val="30"/>
          <w:lang w:eastAsia="zh-CN"/>
        </w:rPr>
      </w:pPr>
      <w:r>
        <w:rPr>
          <w:rFonts w:hint="eastAsia" w:ascii="宋体" w:hAnsi="宋体" w:eastAsia="宋体" w:cs="宋体"/>
          <w:b/>
          <w:bCs/>
          <w:sz w:val="30"/>
          <w:szCs w:val="30"/>
          <w:lang w:eastAsia="zh-CN"/>
        </w:rPr>
        <w:t>二、评价情况</w:t>
      </w:r>
    </w:p>
    <w:p>
      <w:pPr>
        <w:spacing w:line="574" w:lineRule="exact"/>
        <w:ind w:firstLine="584" w:firstLineChars="200"/>
        <w:jc w:val="both"/>
        <w:rPr>
          <w:rFonts w:ascii="宋体" w:hAnsi="宋体" w:eastAsia="宋体" w:cs="宋体"/>
          <w:sz w:val="30"/>
          <w:szCs w:val="30"/>
          <w:lang w:eastAsia="zh-CN"/>
        </w:rPr>
      </w:pPr>
      <w:r>
        <w:rPr>
          <w:rFonts w:hint="eastAsia" w:ascii="宋体" w:hAnsi="宋体" w:eastAsia="宋体" w:cs="宋体"/>
          <w:spacing w:val="-4"/>
          <w:sz w:val="30"/>
          <w:szCs w:val="30"/>
          <w:lang w:eastAsia="zh-CN"/>
        </w:rPr>
        <w:t>（一）项目特点分析。</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1、本项目勘察、设计、施工、监理以及重要设备、材料采购的招标方式需按照《中华人民共和国招标投标法》和《必须招标的工程项目规定》（国家发展改革委第 16 号令）的相关规定执行。项目建设资金按照规定用途使用，与中标后签订的合同相符。</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2、本项目需</w:t>
      </w:r>
      <w:r>
        <w:rPr>
          <w:rFonts w:ascii="宋体" w:hAnsi="宋体" w:eastAsia="宋体" w:cs="宋体"/>
          <w:sz w:val="30"/>
          <w:szCs w:val="30"/>
          <w:lang w:eastAsia="zh-CN"/>
        </w:rPr>
        <w:t>通过在线平台如实报送政府投资项目前期、开工建设、建设进度、竣工等基本信息。加强项目档案管理，将项目审批和实施过程中的有关文件、资料存档备查。</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3、本项目需按照批复的建设规模、建设内容等进行建设。如果已批准建设规模、建设内容需要作较大调整的，按规定办理变更手续。</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4、项目将严格遵循“估算控制概算、概算控制预算、预算控制决算”的原则。投资概算原则上不得超过经批准的可行性研究报告提出的投资估算的10%。</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根据《财政部关于印发&lt;地方政府专项债券项目资金绩效管理办法》的通知&gt;》(财预(2021)61 号文)，并结合上述项目特点，本次绩效评价主要反映项目过程、产出、</w:t>
      </w:r>
      <w:r>
        <w:rPr>
          <w:rFonts w:hint="eastAsia" w:ascii="宋体" w:hAnsi="宋体" w:eastAsia="宋体" w:cs="宋体"/>
          <w:sz w:val="30"/>
          <w:szCs w:val="30"/>
          <w:lang w:val="en-US" w:eastAsia="zh-CN"/>
        </w:rPr>
        <w:t>效益</w:t>
      </w:r>
      <w:r>
        <w:rPr>
          <w:rFonts w:hint="eastAsia" w:ascii="宋体" w:hAnsi="宋体" w:eastAsia="宋体" w:cs="宋体"/>
          <w:sz w:val="30"/>
          <w:szCs w:val="30"/>
          <w:lang w:eastAsia="zh-CN"/>
        </w:rPr>
        <w:t>和满意度情况，包括以下内容：</w:t>
      </w:r>
    </w:p>
    <w:p>
      <w:pPr>
        <w:numPr>
          <w:ilvl w:val="0"/>
          <w:numId w:val="3"/>
        </w:num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过程</w:t>
      </w:r>
      <w:r>
        <w:rPr>
          <w:rFonts w:ascii="宋体" w:hAnsi="宋体" w:eastAsia="宋体" w:cs="宋体"/>
          <w:sz w:val="30"/>
          <w:szCs w:val="30"/>
          <w:lang w:eastAsia="zh-CN"/>
        </w:rPr>
        <w:t>方面</w:t>
      </w:r>
    </w:p>
    <w:p>
      <w:pPr>
        <w:spacing w:line="574" w:lineRule="exact"/>
        <w:ind w:firstLine="600" w:firstLineChars="200"/>
        <w:jc w:val="both"/>
        <w:rPr>
          <w:rFonts w:ascii="宋体" w:hAnsi="宋体" w:eastAsia="宋体" w:cs="宋体"/>
          <w:sz w:val="30"/>
          <w:szCs w:val="30"/>
          <w:lang w:eastAsia="zh-CN"/>
        </w:rPr>
      </w:pPr>
      <w:r>
        <w:rPr>
          <w:rFonts w:ascii="宋体" w:hAnsi="宋体" w:eastAsia="宋体" w:cs="宋体"/>
          <w:sz w:val="30"/>
          <w:szCs w:val="30"/>
          <w:lang w:eastAsia="zh-CN"/>
        </w:rPr>
        <w:t>项目符合专项债券支持领域和方向情况</w:t>
      </w:r>
      <w:r>
        <w:rPr>
          <w:rFonts w:hint="eastAsia" w:ascii="宋体" w:hAnsi="宋体" w:eastAsia="宋体" w:cs="宋体"/>
          <w:sz w:val="30"/>
          <w:szCs w:val="30"/>
          <w:lang w:eastAsia="zh-CN"/>
        </w:rPr>
        <w:t>；</w:t>
      </w:r>
      <w:r>
        <w:rPr>
          <w:rFonts w:ascii="宋体" w:hAnsi="宋体" w:eastAsia="宋体" w:cs="宋体"/>
          <w:sz w:val="30"/>
          <w:szCs w:val="30"/>
          <w:lang w:eastAsia="zh-CN"/>
        </w:rPr>
        <w:t>项目绩效目标设定情况</w:t>
      </w:r>
      <w:r>
        <w:rPr>
          <w:rFonts w:hint="eastAsia" w:ascii="宋体" w:hAnsi="宋体" w:eastAsia="宋体" w:cs="宋体"/>
          <w:sz w:val="30"/>
          <w:szCs w:val="30"/>
          <w:lang w:eastAsia="zh-CN"/>
        </w:rPr>
        <w:t>；</w:t>
      </w:r>
      <w:r>
        <w:rPr>
          <w:rFonts w:ascii="宋体" w:hAnsi="宋体" w:eastAsia="宋体" w:cs="宋体"/>
          <w:sz w:val="30"/>
          <w:szCs w:val="30"/>
          <w:lang w:eastAsia="zh-CN"/>
        </w:rPr>
        <w:t>项目申请专项债券额度与实际需要匹配情况等。</w:t>
      </w:r>
    </w:p>
    <w:p>
      <w:pPr>
        <w:numPr>
          <w:ilvl w:val="0"/>
          <w:numId w:val="3"/>
        </w:num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产出</w:t>
      </w:r>
      <w:r>
        <w:rPr>
          <w:rFonts w:ascii="宋体" w:hAnsi="宋体" w:eastAsia="宋体" w:cs="宋体"/>
          <w:sz w:val="30"/>
          <w:szCs w:val="30"/>
          <w:lang w:eastAsia="zh-CN"/>
        </w:rPr>
        <w:t>方面</w:t>
      </w:r>
    </w:p>
    <w:p>
      <w:pPr>
        <w:spacing w:line="574" w:lineRule="exact"/>
        <w:ind w:firstLine="600" w:firstLineChars="200"/>
        <w:jc w:val="both"/>
        <w:rPr>
          <w:rFonts w:hint="eastAsia" w:ascii="宋体" w:hAnsi="宋体" w:eastAsia="宋体" w:cs="宋体"/>
          <w:sz w:val="30"/>
          <w:szCs w:val="30"/>
          <w:lang w:eastAsia="zh-CN"/>
        </w:rPr>
      </w:pPr>
      <w:r>
        <w:rPr>
          <w:rFonts w:ascii="宋体" w:hAnsi="宋体" w:eastAsia="宋体" w:cs="宋体"/>
          <w:sz w:val="30"/>
          <w:szCs w:val="30"/>
          <w:lang w:eastAsia="zh-CN"/>
        </w:rPr>
        <w:t>债券资金按规定用途使用情况</w:t>
      </w:r>
      <w:r>
        <w:rPr>
          <w:rFonts w:hint="eastAsia" w:ascii="宋体" w:hAnsi="宋体" w:eastAsia="宋体" w:cs="宋体"/>
          <w:sz w:val="30"/>
          <w:szCs w:val="30"/>
          <w:lang w:eastAsia="zh-CN"/>
        </w:rPr>
        <w:t>；</w:t>
      </w:r>
      <w:r>
        <w:rPr>
          <w:rFonts w:ascii="宋体" w:hAnsi="宋体" w:eastAsia="宋体" w:cs="宋体"/>
          <w:sz w:val="30"/>
          <w:szCs w:val="30"/>
          <w:lang w:eastAsia="zh-CN"/>
        </w:rPr>
        <w:t>资金拨付和支出进度与项目建设进度匹配情况</w:t>
      </w:r>
      <w:r>
        <w:rPr>
          <w:rFonts w:hint="eastAsia" w:ascii="宋体" w:hAnsi="宋体" w:eastAsia="宋体" w:cs="宋体"/>
          <w:sz w:val="30"/>
          <w:szCs w:val="30"/>
          <w:lang w:eastAsia="zh-CN"/>
        </w:rPr>
        <w:t>；</w:t>
      </w:r>
      <w:r>
        <w:rPr>
          <w:rFonts w:ascii="宋体" w:hAnsi="宋体" w:eastAsia="宋体" w:cs="宋体"/>
          <w:sz w:val="30"/>
          <w:szCs w:val="30"/>
          <w:lang w:eastAsia="zh-CN"/>
        </w:rPr>
        <w:t>专项债券项目信息公开情况</w:t>
      </w:r>
      <w:r>
        <w:rPr>
          <w:rFonts w:hint="eastAsia" w:ascii="宋体" w:hAnsi="宋体" w:eastAsia="宋体" w:cs="宋体"/>
          <w:sz w:val="30"/>
          <w:szCs w:val="30"/>
          <w:lang w:eastAsia="zh-CN"/>
        </w:rPr>
        <w:t>；</w:t>
      </w:r>
      <w:r>
        <w:rPr>
          <w:rFonts w:ascii="宋体" w:hAnsi="宋体" w:eastAsia="宋体" w:cs="宋体"/>
          <w:sz w:val="30"/>
          <w:szCs w:val="30"/>
          <w:lang w:eastAsia="zh-CN"/>
        </w:rPr>
        <w:t>外部监督发现问题整改情况</w:t>
      </w:r>
      <w:r>
        <w:rPr>
          <w:rFonts w:hint="eastAsia" w:ascii="宋体" w:hAnsi="宋体" w:eastAsia="宋体" w:cs="宋体"/>
          <w:sz w:val="30"/>
          <w:szCs w:val="30"/>
          <w:lang w:eastAsia="zh-CN"/>
        </w:rPr>
        <w:t>；</w:t>
      </w:r>
      <w:r>
        <w:rPr>
          <w:rFonts w:ascii="宋体" w:hAnsi="宋体" w:eastAsia="宋体" w:cs="宋体"/>
          <w:sz w:val="30"/>
          <w:szCs w:val="30"/>
          <w:lang w:eastAsia="zh-CN"/>
        </w:rPr>
        <w:t>信息系统管理使用情况</w:t>
      </w:r>
      <w:r>
        <w:rPr>
          <w:rFonts w:hint="eastAsia" w:ascii="宋体" w:hAnsi="宋体" w:eastAsia="宋体" w:cs="宋体"/>
          <w:sz w:val="30"/>
          <w:szCs w:val="30"/>
          <w:lang w:eastAsia="zh-CN"/>
        </w:rPr>
        <w:t>等；</w:t>
      </w:r>
      <w:r>
        <w:rPr>
          <w:rFonts w:ascii="宋体" w:hAnsi="宋体" w:eastAsia="宋体" w:cs="宋体"/>
          <w:sz w:val="30"/>
          <w:szCs w:val="30"/>
          <w:lang w:eastAsia="zh-CN"/>
        </w:rPr>
        <w:t>项目建设质量达标情况</w:t>
      </w:r>
      <w:r>
        <w:rPr>
          <w:rFonts w:hint="eastAsia" w:ascii="宋体" w:hAnsi="宋体" w:eastAsia="宋体" w:cs="宋体"/>
          <w:sz w:val="30"/>
          <w:szCs w:val="30"/>
          <w:lang w:eastAsia="zh-CN"/>
        </w:rPr>
        <w:t>；</w:t>
      </w:r>
      <w:r>
        <w:rPr>
          <w:rFonts w:ascii="宋体" w:hAnsi="宋体" w:eastAsia="宋体" w:cs="宋体"/>
          <w:sz w:val="30"/>
          <w:szCs w:val="30"/>
          <w:lang w:eastAsia="zh-CN"/>
        </w:rPr>
        <w:t>项目建设进度情况</w:t>
      </w:r>
      <w:r>
        <w:rPr>
          <w:rFonts w:hint="eastAsia" w:ascii="宋体" w:hAnsi="宋体" w:eastAsia="宋体" w:cs="宋体"/>
          <w:sz w:val="30"/>
          <w:szCs w:val="30"/>
          <w:lang w:eastAsia="zh-CN"/>
        </w:rPr>
        <w:t>；</w:t>
      </w:r>
      <w:r>
        <w:rPr>
          <w:rFonts w:ascii="宋体" w:hAnsi="宋体" w:eastAsia="宋体" w:cs="宋体"/>
          <w:sz w:val="30"/>
          <w:szCs w:val="30"/>
          <w:lang w:eastAsia="zh-CN"/>
        </w:rPr>
        <w:t>项目建设成本情况</w:t>
      </w:r>
      <w:r>
        <w:rPr>
          <w:rFonts w:hint="eastAsia" w:ascii="宋体" w:hAnsi="宋体" w:eastAsia="宋体" w:cs="宋体"/>
          <w:sz w:val="30"/>
          <w:szCs w:val="30"/>
          <w:lang w:eastAsia="zh-CN"/>
        </w:rPr>
        <w:t>等。</w:t>
      </w:r>
    </w:p>
    <w:p>
      <w:pPr>
        <w:numPr>
          <w:ilvl w:val="0"/>
          <w:numId w:val="3"/>
        </w:numPr>
        <w:spacing w:line="574" w:lineRule="exact"/>
        <w:ind w:left="0" w:leftChars="0" w:firstLine="600" w:firstLineChars="200"/>
        <w:jc w:val="both"/>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项目效益</w:t>
      </w:r>
    </w:p>
    <w:p>
      <w:pPr>
        <w:numPr>
          <w:ilvl w:val="0"/>
          <w:numId w:val="0"/>
        </w:numPr>
        <w:spacing w:line="574" w:lineRule="exact"/>
        <w:ind w:leftChars="200"/>
        <w:jc w:val="both"/>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 xml:space="preserve"> 项目</w:t>
      </w:r>
      <w:r>
        <w:rPr>
          <w:rFonts w:hint="eastAsia" w:ascii="宋体" w:hAnsi="宋体" w:eastAsia="宋体" w:cs="宋体"/>
          <w:sz w:val="30"/>
          <w:szCs w:val="30"/>
          <w:highlight w:val="none"/>
          <w:lang w:val="en-US" w:eastAsia="zh-CN"/>
        </w:rPr>
        <w:t>经济效益、</w:t>
      </w:r>
      <w:r>
        <w:rPr>
          <w:rFonts w:hint="eastAsia" w:ascii="宋体" w:hAnsi="宋体" w:eastAsia="宋体" w:cs="宋体"/>
          <w:sz w:val="30"/>
          <w:szCs w:val="30"/>
          <w:highlight w:val="none"/>
          <w:lang w:eastAsia="zh-CN"/>
        </w:rPr>
        <w:t>社会效益、</w:t>
      </w:r>
      <w:r>
        <w:rPr>
          <w:rFonts w:hint="eastAsia" w:ascii="宋体" w:hAnsi="宋体" w:eastAsia="宋体" w:cs="宋体"/>
          <w:sz w:val="30"/>
          <w:szCs w:val="30"/>
          <w:highlight w:val="none"/>
          <w:lang w:val="en-US" w:eastAsia="zh-CN"/>
        </w:rPr>
        <w:t>生态效益等。</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val="en-US" w:eastAsia="zh-CN"/>
        </w:rPr>
        <w:t>4</w:t>
      </w:r>
      <w:r>
        <w:rPr>
          <w:rFonts w:hint="eastAsia" w:ascii="宋体" w:hAnsi="宋体" w:eastAsia="宋体" w:cs="宋体"/>
          <w:sz w:val="30"/>
          <w:szCs w:val="30"/>
          <w:lang w:eastAsia="zh-CN"/>
        </w:rPr>
        <w:t>、满意度方面</w:t>
      </w:r>
    </w:p>
    <w:p>
      <w:pPr>
        <w:spacing w:line="574" w:lineRule="exact"/>
        <w:ind w:firstLine="600" w:firstLineChars="200"/>
        <w:jc w:val="both"/>
        <w:rPr>
          <w:rFonts w:ascii="宋体" w:hAnsi="宋体" w:eastAsia="宋体" w:cs="宋体"/>
          <w:sz w:val="30"/>
          <w:szCs w:val="30"/>
          <w:lang w:eastAsia="zh-CN"/>
        </w:rPr>
      </w:pPr>
      <w:r>
        <w:rPr>
          <w:rFonts w:ascii="宋体" w:hAnsi="宋体" w:eastAsia="宋体" w:cs="宋体"/>
          <w:sz w:val="30"/>
          <w:szCs w:val="30"/>
          <w:lang w:eastAsia="zh-CN"/>
        </w:rPr>
        <w:t>项目满意程度等。</w:t>
      </w:r>
    </w:p>
    <w:p>
      <w:pPr>
        <w:spacing w:line="574" w:lineRule="exact"/>
        <w:ind w:firstLine="584" w:firstLineChars="200"/>
        <w:jc w:val="both"/>
        <w:rPr>
          <w:rFonts w:ascii="宋体" w:hAnsi="宋体" w:eastAsia="宋体" w:cs="宋体"/>
          <w:sz w:val="30"/>
          <w:szCs w:val="30"/>
          <w:lang w:eastAsia="zh-CN"/>
        </w:rPr>
      </w:pPr>
      <w:r>
        <w:rPr>
          <w:rFonts w:hint="eastAsia" w:ascii="宋体" w:hAnsi="宋体" w:eastAsia="宋体" w:cs="宋体"/>
          <w:spacing w:val="-4"/>
          <w:sz w:val="30"/>
          <w:szCs w:val="30"/>
          <w:lang w:eastAsia="zh-CN"/>
        </w:rPr>
        <w:t>（二）评价思路方法</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根据《财政部关于印发&lt;地方政府专项债券项目资金绩效管理办法》的通知&gt;》(财预(2021)61 号文)、《项目支出绩效评价管理办法》（财预（2020）10号文），</w:t>
      </w:r>
      <w:r>
        <w:rPr>
          <w:rFonts w:hint="eastAsia" w:ascii="宋体" w:hAnsi="宋体" w:eastAsia="宋体" w:cs="宋体"/>
          <w:spacing w:val="-4"/>
          <w:sz w:val="30"/>
          <w:szCs w:val="30"/>
          <w:lang w:eastAsia="zh-CN"/>
        </w:rPr>
        <w:t>确定专项债券项目绩效自评</w:t>
      </w:r>
      <w:r>
        <w:rPr>
          <w:rFonts w:hint="eastAsia" w:ascii="宋体" w:hAnsi="宋体" w:eastAsia="宋体" w:cs="宋体"/>
          <w:sz w:val="30"/>
          <w:szCs w:val="30"/>
          <w:lang w:eastAsia="zh-CN"/>
        </w:rPr>
        <w:t>价的原则、方法、标准等。</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1、绩效评价原则</w:t>
      </w:r>
    </w:p>
    <w:p>
      <w:pPr>
        <w:spacing w:line="574" w:lineRule="exact"/>
        <w:ind w:firstLine="600"/>
        <w:jc w:val="both"/>
        <w:rPr>
          <w:rFonts w:ascii="宋体" w:hAnsi="宋体" w:eastAsia="宋体" w:cs="宋体"/>
          <w:sz w:val="30"/>
          <w:szCs w:val="30"/>
          <w:lang w:eastAsia="zh-CN"/>
        </w:rPr>
      </w:pPr>
      <w:r>
        <w:rPr>
          <w:rFonts w:hint="eastAsia" w:ascii="宋体" w:hAnsi="宋体" w:eastAsia="宋体" w:cs="宋体"/>
          <w:sz w:val="30"/>
          <w:szCs w:val="30"/>
          <w:lang w:eastAsia="zh-CN"/>
        </w:rPr>
        <w:t>绩效评价应当遵循以下基本原则：（1）科学公正。绩效评价应当运用科学合理的方法，按照规范的程序，对项目绩效进行客观、公正的反映。（2）统筹兼顾。单位自评由项目单位自主实施，即“谁支出、谁自评”。（3）激励约束。绩效评价结果应与预算安排、政策调整、改进管理实质性挂钩，体现奖优罚劣和激励相容导向，有效要安排、低效要压减、无效要问责。（4）公开透明。绩效评价结果应依法依规公开，并自觉接受社会监督。</w:t>
      </w:r>
    </w:p>
    <w:p>
      <w:pPr>
        <w:spacing w:line="574" w:lineRule="exact"/>
        <w:ind w:left="440" w:leftChars="200" w:firstLine="300" w:firstLineChars="100"/>
        <w:jc w:val="both"/>
        <w:rPr>
          <w:rFonts w:ascii="宋体" w:hAnsi="宋体" w:eastAsia="宋体" w:cs="宋体"/>
          <w:sz w:val="30"/>
          <w:szCs w:val="30"/>
          <w:lang w:eastAsia="zh-CN"/>
        </w:rPr>
      </w:pPr>
      <w:r>
        <w:rPr>
          <w:rFonts w:hint="eastAsia" w:ascii="宋体" w:hAnsi="宋体" w:eastAsia="宋体" w:cs="宋体"/>
          <w:sz w:val="30"/>
          <w:szCs w:val="30"/>
          <w:lang w:eastAsia="zh-CN"/>
        </w:rPr>
        <w:t>2、</w:t>
      </w:r>
      <w:r>
        <w:rPr>
          <w:rFonts w:ascii="宋体" w:hAnsi="宋体" w:eastAsia="宋体" w:cs="宋体"/>
          <w:sz w:val="30"/>
          <w:szCs w:val="30"/>
          <w:lang w:eastAsia="zh-CN"/>
        </w:rPr>
        <w:t>绩效评价标准</w:t>
      </w:r>
    </w:p>
    <w:p>
      <w:pPr>
        <w:spacing w:line="574" w:lineRule="exact"/>
        <w:jc w:val="both"/>
        <w:rPr>
          <w:rFonts w:ascii="宋体" w:hAnsi="宋体" w:eastAsia="宋体" w:cs="宋体"/>
          <w:sz w:val="30"/>
          <w:szCs w:val="30"/>
          <w:lang w:eastAsia="zh-CN"/>
        </w:rPr>
      </w:pPr>
      <w:r>
        <w:rPr>
          <w:rFonts w:hint="eastAsia" w:ascii="宋体" w:hAnsi="宋体" w:eastAsia="宋体" w:cs="宋体"/>
          <w:sz w:val="30"/>
          <w:szCs w:val="30"/>
          <w:lang w:eastAsia="zh-CN"/>
        </w:rPr>
        <w:t xml:space="preserve">    绩效评价标准通常包括计划标准、行业标准等，用于对绩效指标完成情况进行比较。（1）计划标准。指以预先制定的目标、计划、预算、定额等作为评价标准。（2）行业标准。指参照国家公布的行业指标数据制定的评价标准。</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3、绩效评价方法</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采用定量与定性评价相结合的比较法，总分由各项指标得分汇总形成。</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定量指标得分按照以下方法评定：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 xml:space="preserve">定性指标得分按照以下方法评定：根据指标完成情况分为达成年度指标、部分达成年度指标并具有一定效果、未达成年度指标且效果较差三档，合理确定分值。 </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根据财预（2021）61号文，</w:t>
      </w:r>
      <w:r>
        <w:rPr>
          <w:rFonts w:ascii="宋体" w:hAnsi="宋体" w:eastAsia="宋体" w:cs="宋体"/>
          <w:sz w:val="30"/>
          <w:szCs w:val="30"/>
          <w:lang w:eastAsia="zh-CN"/>
        </w:rPr>
        <w:t>绩效评价</w:t>
      </w:r>
      <w:r>
        <w:rPr>
          <w:rFonts w:hint="eastAsia" w:ascii="宋体" w:hAnsi="宋体" w:eastAsia="宋体" w:cs="宋体"/>
          <w:sz w:val="30"/>
          <w:szCs w:val="30"/>
          <w:lang w:eastAsia="zh-CN"/>
        </w:rPr>
        <w:t>最终</w:t>
      </w:r>
      <w:r>
        <w:rPr>
          <w:rFonts w:ascii="宋体" w:hAnsi="宋体" w:eastAsia="宋体" w:cs="宋体"/>
          <w:sz w:val="30"/>
          <w:szCs w:val="30"/>
          <w:lang w:eastAsia="zh-CN"/>
        </w:rPr>
        <w:t>结果按照综合评分进行分级</w:t>
      </w:r>
      <w:r>
        <w:rPr>
          <w:rFonts w:hint="eastAsia" w:ascii="宋体" w:hAnsi="宋体" w:eastAsia="宋体" w:cs="宋体"/>
          <w:sz w:val="30"/>
          <w:szCs w:val="30"/>
          <w:lang w:eastAsia="zh-CN"/>
        </w:rPr>
        <w:t>。</w:t>
      </w:r>
      <w:r>
        <w:rPr>
          <w:rFonts w:ascii="宋体" w:hAnsi="宋体" w:eastAsia="宋体" w:cs="宋体"/>
          <w:sz w:val="30"/>
          <w:szCs w:val="30"/>
          <w:lang w:eastAsia="zh-CN"/>
        </w:rPr>
        <w:t>综合评分为90分(含)以上的为</w:t>
      </w:r>
      <w:r>
        <w:rPr>
          <w:rFonts w:hint="eastAsia" w:ascii="宋体" w:hAnsi="宋体" w:eastAsia="宋体" w:cs="宋体"/>
          <w:sz w:val="30"/>
          <w:szCs w:val="30"/>
          <w:lang w:eastAsia="zh-CN"/>
        </w:rPr>
        <w:t>“</w:t>
      </w:r>
      <w:r>
        <w:rPr>
          <w:rFonts w:ascii="宋体" w:hAnsi="宋体" w:eastAsia="宋体" w:cs="宋体"/>
          <w:sz w:val="30"/>
          <w:szCs w:val="30"/>
          <w:lang w:eastAsia="zh-CN"/>
        </w:rPr>
        <w:t>优</w:t>
      </w:r>
      <w:r>
        <w:rPr>
          <w:rFonts w:hint="eastAsia" w:ascii="宋体" w:hAnsi="宋体" w:eastAsia="宋体" w:cs="宋体"/>
          <w:sz w:val="30"/>
          <w:szCs w:val="30"/>
          <w:lang w:eastAsia="zh-CN"/>
        </w:rPr>
        <w:t>”</w:t>
      </w:r>
      <w:r>
        <w:rPr>
          <w:rFonts w:ascii="宋体" w:hAnsi="宋体" w:eastAsia="宋体" w:cs="宋体"/>
          <w:sz w:val="30"/>
          <w:szCs w:val="30"/>
          <w:lang w:eastAsia="zh-CN"/>
        </w:rPr>
        <w:t>,80分(含)至90分的为</w:t>
      </w:r>
      <w:r>
        <w:rPr>
          <w:rFonts w:hint="eastAsia" w:ascii="宋体" w:hAnsi="宋体" w:eastAsia="宋体" w:cs="宋体"/>
          <w:sz w:val="30"/>
          <w:szCs w:val="30"/>
          <w:lang w:eastAsia="zh-CN"/>
        </w:rPr>
        <w:t>“</w:t>
      </w:r>
      <w:r>
        <w:rPr>
          <w:rFonts w:ascii="宋体" w:hAnsi="宋体" w:eastAsia="宋体" w:cs="宋体"/>
          <w:sz w:val="30"/>
          <w:szCs w:val="30"/>
          <w:lang w:eastAsia="zh-CN"/>
        </w:rPr>
        <w:t>良</w:t>
      </w:r>
      <w:r>
        <w:rPr>
          <w:rFonts w:hint="eastAsia" w:ascii="宋体" w:hAnsi="宋体" w:eastAsia="宋体" w:cs="宋体"/>
          <w:sz w:val="30"/>
          <w:szCs w:val="30"/>
          <w:lang w:eastAsia="zh-CN"/>
        </w:rPr>
        <w:t>”</w:t>
      </w:r>
      <w:r>
        <w:rPr>
          <w:rFonts w:ascii="宋体" w:hAnsi="宋体" w:eastAsia="宋体" w:cs="宋体"/>
          <w:sz w:val="30"/>
          <w:szCs w:val="30"/>
          <w:lang w:eastAsia="zh-CN"/>
        </w:rPr>
        <w:t>,60分(含)至80分的为</w:t>
      </w:r>
      <w:r>
        <w:rPr>
          <w:rFonts w:hint="eastAsia" w:ascii="宋体" w:hAnsi="宋体" w:eastAsia="宋体" w:cs="宋体"/>
          <w:sz w:val="30"/>
          <w:szCs w:val="30"/>
          <w:lang w:eastAsia="zh-CN"/>
        </w:rPr>
        <w:t>“</w:t>
      </w:r>
      <w:r>
        <w:rPr>
          <w:rFonts w:ascii="宋体" w:hAnsi="宋体" w:eastAsia="宋体" w:cs="宋体"/>
          <w:sz w:val="30"/>
          <w:szCs w:val="30"/>
          <w:lang w:eastAsia="zh-CN"/>
        </w:rPr>
        <w:t>中</w:t>
      </w:r>
      <w:r>
        <w:rPr>
          <w:rFonts w:hint="eastAsia" w:ascii="宋体" w:hAnsi="宋体" w:eastAsia="宋体" w:cs="宋体"/>
          <w:sz w:val="30"/>
          <w:szCs w:val="30"/>
          <w:lang w:eastAsia="zh-CN"/>
        </w:rPr>
        <w:t>”，</w:t>
      </w:r>
      <w:r>
        <w:rPr>
          <w:rFonts w:ascii="宋体" w:hAnsi="宋体" w:eastAsia="宋体" w:cs="宋体"/>
          <w:sz w:val="30"/>
          <w:szCs w:val="30"/>
          <w:lang w:eastAsia="zh-CN"/>
        </w:rPr>
        <w:t>60分以下的为</w:t>
      </w:r>
      <w:r>
        <w:rPr>
          <w:rFonts w:hint="eastAsia" w:ascii="宋体" w:hAnsi="宋体" w:eastAsia="宋体" w:cs="宋体"/>
          <w:sz w:val="30"/>
          <w:szCs w:val="30"/>
          <w:lang w:eastAsia="zh-CN"/>
        </w:rPr>
        <w:t>“</w:t>
      </w:r>
      <w:r>
        <w:rPr>
          <w:rFonts w:ascii="宋体" w:hAnsi="宋体" w:eastAsia="宋体" w:cs="宋体"/>
          <w:sz w:val="30"/>
          <w:szCs w:val="30"/>
          <w:lang w:eastAsia="zh-CN"/>
        </w:rPr>
        <w:t>差</w:t>
      </w:r>
      <w:r>
        <w:rPr>
          <w:rFonts w:hint="eastAsia" w:ascii="宋体" w:hAnsi="宋体" w:eastAsia="宋体" w:cs="宋体"/>
          <w:sz w:val="30"/>
          <w:szCs w:val="30"/>
          <w:lang w:eastAsia="zh-CN"/>
        </w:rPr>
        <w:t xml:space="preserve">”。 </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4、本项目绩效评价指标权重</w:t>
      </w:r>
    </w:p>
    <w:p>
      <w:pPr>
        <w:spacing w:line="574" w:lineRule="exact"/>
        <w:ind w:firstLine="600" w:firstLineChars="200"/>
        <w:jc w:val="both"/>
        <w:rPr>
          <w:rFonts w:hint="eastAsia" w:ascii="宋体" w:hAnsi="宋体" w:eastAsia="宋体" w:cs="宋体"/>
          <w:sz w:val="30"/>
          <w:szCs w:val="30"/>
          <w:lang w:eastAsia="zh-CN"/>
        </w:rPr>
      </w:pPr>
      <w:r>
        <w:rPr>
          <w:rFonts w:hint="eastAsia" w:ascii="宋体" w:hAnsi="宋体" w:eastAsia="宋体" w:cs="宋体"/>
          <w:sz w:val="30"/>
          <w:szCs w:val="30"/>
          <w:lang w:eastAsia="zh-CN"/>
        </w:rPr>
        <w:t>根据《项目支出绩效评价管理办法》（财预（2020）10号文），自评指标的权重根据项目实际情况确定。</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据此，结合本项目进度，绩效评价指标体系从项目过程、项目产出、</w:t>
      </w:r>
      <w:r>
        <w:rPr>
          <w:rFonts w:hint="eastAsia" w:ascii="宋体" w:hAnsi="宋体" w:eastAsia="宋体" w:cs="宋体"/>
          <w:sz w:val="30"/>
          <w:szCs w:val="30"/>
          <w:lang w:val="en-US" w:eastAsia="zh-CN"/>
        </w:rPr>
        <w:t>项目效益、</w:t>
      </w:r>
      <w:r>
        <w:rPr>
          <w:rFonts w:hint="eastAsia" w:ascii="宋体" w:hAnsi="宋体" w:eastAsia="宋体" w:cs="宋体"/>
          <w:sz w:val="30"/>
          <w:szCs w:val="30"/>
          <w:lang w:eastAsia="zh-CN"/>
        </w:rPr>
        <w:t>项目满意度</w:t>
      </w:r>
      <w:r>
        <w:rPr>
          <w:rFonts w:hint="eastAsia" w:ascii="宋体" w:hAnsi="宋体" w:eastAsia="宋体" w:cs="宋体"/>
          <w:sz w:val="30"/>
          <w:szCs w:val="30"/>
          <w:lang w:val="en-US" w:eastAsia="zh-CN"/>
        </w:rPr>
        <w:t>四</w:t>
      </w:r>
      <w:r>
        <w:rPr>
          <w:rFonts w:hint="eastAsia" w:ascii="宋体" w:hAnsi="宋体" w:eastAsia="宋体" w:cs="宋体"/>
          <w:sz w:val="30"/>
          <w:szCs w:val="30"/>
          <w:lang w:eastAsia="zh-CN"/>
        </w:rPr>
        <w:t>个方面进行构建。具体如下：</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（1）项目过程：由资金管理指标、组织实施指标构成。</w:t>
      </w:r>
    </w:p>
    <w:p>
      <w:pPr>
        <w:spacing w:line="574" w:lineRule="exact"/>
        <w:ind w:firstLine="600" w:firstLineChars="200"/>
        <w:jc w:val="both"/>
        <w:rPr>
          <w:rFonts w:hint="eastAsia"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（2）项目产出：由数量指标、质量指标、时效指标、成本指标构成。</w:t>
      </w:r>
    </w:p>
    <w:p>
      <w:pPr>
        <w:spacing w:line="574" w:lineRule="exact"/>
        <w:ind w:firstLine="600" w:firstLineChars="200"/>
        <w:jc w:val="both"/>
        <w:rPr>
          <w:rFonts w:hint="eastAsia"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w:t>
      </w:r>
      <w:r>
        <w:rPr>
          <w:rFonts w:hint="eastAsia" w:ascii="宋体" w:hAnsi="宋体" w:eastAsia="宋体" w:cs="宋体"/>
          <w:sz w:val="30"/>
          <w:szCs w:val="30"/>
          <w:highlight w:val="none"/>
          <w:lang w:val="en-US" w:eastAsia="zh-CN"/>
        </w:rPr>
        <w:t>3</w:t>
      </w:r>
      <w:r>
        <w:rPr>
          <w:rFonts w:hint="eastAsia" w:ascii="宋体" w:hAnsi="宋体" w:eastAsia="宋体" w:cs="宋体"/>
          <w:sz w:val="30"/>
          <w:szCs w:val="30"/>
          <w:highlight w:val="none"/>
          <w:lang w:eastAsia="zh-CN"/>
        </w:rPr>
        <w:t>）</w:t>
      </w:r>
      <w:r>
        <w:rPr>
          <w:rFonts w:hint="eastAsia" w:ascii="宋体" w:hAnsi="宋体" w:eastAsia="宋体" w:cs="宋体"/>
          <w:sz w:val="30"/>
          <w:szCs w:val="30"/>
          <w:highlight w:val="none"/>
          <w:lang w:val="en-US" w:eastAsia="zh-CN"/>
        </w:rPr>
        <w:t>项目效益：</w:t>
      </w:r>
      <w:r>
        <w:rPr>
          <w:rFonts w:hint="eastAsia" w:ascii="宋体" w:hAnsi="宋体" w:eastAsia="宋体" w:cs="宋体"/>
          <w:sz w:val="30"/>
          <w:szCs w:val="30"/>
          <w:highlight w:val="none"/>
          <w:lang w:eastAsia="zh-CN"/>
        </w:rPr>
        <w:t>由</w:t>
      </w:r>
      <w:r>
        <w:rPr>
          <w:rFonts w:hint="eastAsia" w:ascii="宋体" w:hAnsi="宋体" w:eastAsia="宋体" w:cs="宋体"/>
          <w:sz w:val="30"/>
          <w:szCs w:val="30"/>
          <w:highlight w:val="none"/>
          <w:lang w:val="en-US" w:eastAsia="zh-CN"/>
        </w:rPr>
        <w:t>经济效益、</w:t>
      </w:r>
      <w:r>
        <w:rPr>
          <w:rFonts w:hint="eastAsia" w:ascii="宋体" w:hAnsi="宋体" w:eastAsia="宋体" w:cs="宋体"/>
          <w:sz w:val="30"/>
          <w:szCs w:val="30"/>
          <w:highlight w:val="none"/>
          <w:lang w:eastAsia="zh-CN"/>
        </w:rPr>
        <w:t>社会效益、</w:t>
      </w:r>
      <w:r>
        <w:rPr>
          <w:rFonts w:hint="eastAsia" w:ascii="宋体" w:hAnsi="宋体" w:eastAsia="宋体" w:cs="宋体"/>
          <w:sz w:val="30"/>
          <w:szCs w:val="30"/>
          <w:highlight w:val="none"/>
          <w:lang w:val="en-US" w:eastAsia="zh-CN"/>
        </w:rPr>
        <w:t>生态效益</w:t>
      </w:r>
      <w:r>
        <w:rPr>
          <w:rFonts w:hint="eastAsia" w:ascii="宋体" w:hAnsi="宋体" w:eastAsia="宋体" w:cs="宋体"/>
          <w:sz w:val="30"/>
          <w:szCs w:val="30"/>
          <w:highlight w:val="none"/>
          <w:lang w:eastAsia="zh-CN"/>
        </w:rPr>
        <w:t>指标构成。</w:t>
      </w:r>
    </w:p>
    <w:p>
      <w:pPr>
        <w:spacing w:line="574" w:lineRule="exact"/>
        <w:ind w:firstLine="600" w:firstLineChars="200"/>
        <w:jc w:val="both"/>
        <w:rPr>
          <w:rFonts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w:t>
      </w:r>
      <w:r>
        <w:rPr>
          <w:rFonts w:hint="eastAsia" w:ascii="宋体" w:hAnsi="宋体" w:eastAsia="宋体" w:cs="宋体"/>
          <w:sz w:val="30"/>
          <w:szCs w:val="30"/>
          <w:highlight w:val="none"/>
          <w:lang w:val="en-US" w:eastAsia="zh-CN"/>
        </w:rPr>
        <w:t>4</w:t>
      </w:r>
      <w:r>
        <w:rPr>
          <w:rFonts w:hint="eastAsia" w:ascii="宋体" w:hAnsi="宋体" w:eastAsia="宋体" w:cs="宋体"/>
          <w:sz w:val="30"/>
          <w:szCs w:val="30"/>
          <w:highlight w:val="none"/>
          <w:lang w:eastAsia="zh-CN"/>
        </w:rPr>
        <w:t>）项目满意度：由</w:t>
      </w:r>
      <w:r>
        <w:rPr>
          <w:rFonts w:hint="eastAsia" w:ascii="宋体" w:hAnsi="宋体" w:eastAsia="宋体" w:cs="宋体"/>
          <w:sz w:val="30"/>
          <w:szCs w:val="30"/>
          <w:highlight w:val="none"/>
          <w:lang w:val="en-US" w:eastAsia="zh-CN"/>
        </w:rPr>
        <w:t>周边居民满意度</w:t>
      </w:r>
      <w:r>
        <w:rPr>
          <w:rFonts w:hint="eastAsia" w:ascii="宋体" w:hAnsi="宋体" w:eastAsia="宋体" w:cs="宋体"/>
          <w:sz w:val="30"/>
          <w:szCs w:val="30"/>
          <w:highlight w:val="none"/>
          <w:lang w:eastAsia="zh-CN"/>
        </w:rPr>
        <w:t>指标构成。</w:t>
      </w:r>
    </w:p>
    <w:p>
      <w:pPr>
        <w:numPr>
          <w:ilvl w:val="0"/>
          <w:numId w:val="1"/>
        </w:numPr>
        <w:spacing w:line="574" w:lineRule="exact"/>
        <w:ind w:firstLine="600"/>
        <w:jc w:val="both"/>
        <w:rPr>
          <w:rFonts w:ascii="宋体" w:hAnsi="宋体" w:eastAsia="宋体" w:cs="宋体"/>
          <w:sz w:val="30"/>
          <w:szCs w:val="30"/>
          <w:lang w:eastAsia="zh-CN"/>
        </w:rPr>
      </w:pPr>
      <w:r>
        <w:rPr>
          <w:rFonts w:hint="eastAsia" w:ascii="宋体" w:hAnsi="宋体" w:eastAsia="宋体" w:cs="宋体"/>
          <w:spacing w:val="-4"/>
          <w:sz w:val="30"/>
          <w:szCs w:val="30"/>
          <w:lang w:eastAsia="zh-CN"/>
        </w:rPr>
        <w:t>评价工作情况。主要为项目情况核查和分析等方</w:t>
      </w:r>
      <w:r>
        <w:rPr>
          <w:rFonts w:hint="eastAsia" w:ascii="宋体" w:hAnsi="宋体" w:eastAsia="宋体" w:cs="宋体"/>
          <w:sz w:val="30"/>
          <w:szCs w:val="30"/>
          <w:lang w:eastAsia="zh-CN"/>
        </w:rPr>
        <w:t xml:space="preserve">面的情况。 </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1、前期准备阶段</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根据绩效评价工作要求，结合实施绩效评价项目的特点，绩效评价组通过向项目组收集相关资料，并对项目深入研究、反复研讨，针对项目的特性设计相关表格，进行统计、分析、核实，作为项目评价信息。</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2、实地考察</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为保证本次绩效评价结果的客观、公正、科学，本次绩效评价主要采用实地考察办法。评价小组进行实地考察、访问听取项目情况介绍，考察、了解项目开展、项目执行、项目管控、财务管理等情况，以获取绩效评价所需的基础资料。</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 xml:space="preserve">3、绩效分析阶段 </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绩效评价工作组通过收集资料、对照查证复核、数据分析等 工作程序，采用定性指标与定量指标结合、点面结合的方法，确保评价工作客观、公正。对自评表数据与佐证材料的相关数据进行了核实,对明显不合理的目标值,根据项目实际情况进行调整。进行绩效指标量化打分，经过汇总修正，得出最后评价结果。</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4、沟通反馈、报告撰写</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经过与现场项目组反复沟通、交换意见，评价组内部讨论和修改，完成自评价报告的撰写工作。</w:t>
      </w:r>
    </w:p>
    <w:p>
      <w:pPr>
        <w:numPr>
          <w:ilvl w:val="0"/>
          <w:numId w:val="1"/>
        </w:numPr>
        <w:spacing w:line="574" w:lineRule="exact"/>
        <w:ind w:firstLine="600"/>
        <w:jc w:val="both"/>
        <w:rPr>
          <w:rFonts w:ascii="宋体" w:hAnsi="宋体" w:eastAsia="宋体" w:cs="宋体"/>
          <w:sz w:val="30"/>
          <w:szCs w:val="30"/>
          <w:lang w:eastAsia="zh-CN"/>
        </w:rPr>
      </w:pPr>
      <w:r>
        <w:rPr>
          <w:rFonts w:hint="eastAsia" w:ascii="宋体" w:hAnsi="宋体" w:eastAsia="宋体" w:cs="宋体"/>
          <w:sz w:val="30"/>
          <w:szCs w:val="30"/>
          <w:lang w:eastAsia="zh-CN"/>
        </w:rPr>
        <w:t>绩效评价结论。绩效评价的评分及等级等。</w:t>
      </w:r>
    </w:p>
    <w:p>
      <w:pPr>
        <w:numPr>
          <w:ilvl w:val="0"/>
          <w:numId w:val="0"/>
        </w:numPr>
        <w:adjustRightInd w:val="0"/>
        <w:snapToGrid w:val="0"/>
        <w:spacing w:line="574" w:lineRule="exact"/>
        <w:ind w:firstLine="600" w:firstLineChars="200"/>
        <w:jc w:val="both"/>
        <w:rPr>
          <w:rFonts w:ascii="宋体" w:hAnsi="宋体" w:eastAsia="宋体" w:cs="宋体"/>
          <w:spacing w:val="-15"/>
          <w:sz w:val="30"/>
          <w:szCs w:val="30"/>
          <w:lang w:eastAsia="zh-CN"/>
        </w:rPr>
      </w:pPr>
      <w:r>
        <w:rPr>
          <w:rFonts w:hint="eastAsia" w:ascii="宋体" w:hAnsi="宋体" w:eastAsia="宋体" w:cs="宋体"/>
          <w:sz w:val="30"/>
          <w:szCs w:val="30"/>
          <w:lang w:eastAsia="zh-CN"/>
        </w:rPr>
        <w:t>1、</w:t>
      </w:r>
      <w:r>
        <w:rPr>
          <w:rFonts w:hint="eastAsia" w:ascii="宋体" w:hAnsi="宋体" w:eastAsia="宋体" w:cs="宋体"/>
          <w:spacing w:val="-15"/>
          <w:sz w:val="30"/>
          <w:szCs w:val="30"/>
          <w:lang w:eastAsia="zh-CN"/>
        </w:rPr>
        <w:t>项目过程</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项目过程指标分为资金管理、组织实施。资金管理从资金到位率、</w:t>
      </w:r>
      <w:r>
        <w:rPr>
          <w:rFonts w:hint="eastAsia" w:ascii="宋体" w:hAnsi="宋体" w:eastAsia="宋体" w:cs="宋体"/>
          <w:spacing w:val="-15"/>
          <w:sz w:val="30"/>
          <w:szCs w:val="30"/>
          <w:lang w:val="en-US" w:eastAsia="zh-CN"/>
        </w:rPr>
        <w:t>预算</w:t>
      </w:r>
      <w:r>
        <w:rPr>
          <w:rFonts w:hint="eastAsia" w:ascii="宋体" w:hAnsi="宋体" w:eastAsia="宋体" w:cs="宋体"/>
          <w:spacing w:val="-15"/>
          <w:sz w:val="30"/>
          <w:szCs w:val="30"/>
          <w:lang w:eastAsia="zh-CN"/>
        </w:rPr>
        <w:t>执行率、资金使用合规性</w:t>
      </w:r>
      <w:r>
        <w:rPr>
          <w:rFonts w:hint="eastAsia" w:ascii="宋体" w:hAnsi="宋体" w:eastAsia="宋体" w:cs="宋体"/>
          <w:spacing w:val="-15"/>
          <w:sz w:val="30"/>
          <w:szCs w:val="30"/>
          <w:lang w:val="en-US" w:eastAsia="zh-CN"/>
        </w:rPr>
        <w:t>三</w:t>
      </w:r>
      <w:r>
        <w:rPr>
          <w:rFonts w:hint="eastAsia" w:ascii="宋体" w:hAnsi="宋体" w:eastAsia="宋体" w:cs="宋体"/>
          <w:spacing w:val="-15"/>
          <w:sz w:val="30"/>
          <w:szCs w:val="30"/>
          <w:lang w:eastAsia="zh-CN"/>
        </w:rPr>
        <w:t>个方面评价资金收支和管理情况。组织实施从管理制度健全性、制度执行有效性两个方面评价工程管理制度及项目实施规范情况。</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1</w:t>
      </w:r>
      <w:r>
        <w:rPr>
          <w:rFonts w:hint="eastAsia" w:ascii="宋体" w:hAnsi="宋体" w:eastAsia="宋体" w:cs="宋体"/>
          <w:spacing w:val="-15"/>
          <w:sz w:val="30"/>
          <w:szCs w:val="30"/>
          <w:lang w:eastAsia="zh-CN"/>
        </w:rPr>
        <w:t>）资金到位率</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项目于202</w:t>
      </w:r>
      <w:r>
        <w:rPr>
          <w:rFonts w:hint="eastAsia" w:ascii="宋体" w:hAnsi="宋体" w:eastAsia="宋体" w:cs="宋体"/>
          <w:spacing w:val="-15"/>
          <w:sz w:val="30"/>
          <w:szCs w:val="30"/>
          <w:lang w:val="en-US" w:eastAsia="zh-CN"/>
        </w:rPr>
        <w:t>3</w:t>
      </w:r>
      <w:r>
        <w:rPr>
          <w:rFonts w:hint="eastAsia" w:ascii="宋体" w:hAnsi="宋体" w:eastAsia="宋体" w:cs="宋体"/>
          <w:spacing w:val="-15"/>
          <w:sz w:val="30"/>
          <w:szCs w:val="30"/>
          <w:lang w:eastAsia="zh-CN"/>
        </w:rPr>
        <w:t>年申请地方政府专项债券资金</w:t>
      </w:r>
      <w:r>
        <w:rPr>
          <w:rFonts w:hint="eastAsia" w:ascii="宋体" w:hAnsi="宋体" w:eastAsia="宋体" w:cs="宋体"/>
          <w:spacing w:val="-15"/>
          <w:sz w:val="30"/>
          <w:szCs w:val="30"/>
          <w:lang w:val="en-US" w:eastAsia="zh-CN"/>
        </w:rPr>
        <w:t>0.54亿</w:t>
      </w:r>
      <w:r>
        <w:rPr>
          <w:rFonts w:hint="eastAsia" w:ascii="宋体" w:hAnsi="宋体" w:eastAsia="宋体" w:cs="宋体"/>
          <w:spacing w:val="-15"/>
          <w:sz w:val="30"/>
          <w:szCs w:val="30"/>
          <w:lang w:eastAsia="zh-CN"/>
        </w:rPr>
        <w:t>元，截止202</w:t>
      </w:r>
      <w:r>
        <w:rPr>
          <w:rFonts w:hint="eastAsia" w:ascii="宋体" w:hAnsi="宋体" w:eastAsia="宋体" w:cs="宋体"/>
          <w:spacing w:val="-15"/>
          <w:sz w:val="30"/>
          <w:szCs w:val="30"/>
          <w:lang w:val="en-US" w:eastAsia="zh-CN"/>
        </w:rPr>
        <w:t>3</w:t>
      </w:r>
      <w:r>
        <w:rPr>
          <w:rFonts w:hint="eastAsia" w:ascii="宋体" w:hAnsi="宋体" w:eastAsia="宋体" w:cs="宋体"/>
          <w:spacing w:val="-15"/>
          <w:sz w:val="30"/>
          <w:szCs w:val="30"/>
          <w:lang w:eastAsia="zh-CN"/>
        </w:rPr>
        <w:t>年12月资金实际到位</w:t>
      </w:r>
      <w:r>
        <w:rPr>
          <w:rFonts w:hint="eastAsia" w:ascii="宋体" w:hAnsi="宋体" w:eastAsia="宋体" w:cs="宋体"/>
          <w:spacing w:val="-15"/>
          <w:sz w:val="30"/>
          <w:szCs w:val="30"/>
          <w:lang w:val="en-US" w:eastAsia="zh-CN"/>
        </w:rPr>
        <w:t>0.54亿</w:t>
      </w:r>
      <w:r>
        <w:rPr>
          <w:rFonts w:hint="eastAsia" w:ascii="宋体" w:hAnsi="宋体" w:eastAsia="宋体" w:cs="宋体"/>
          <w:spacing w:val="-15"/>
          <w:sz w:val="30"/>
          <w:szCs w:val="30"/>
          <w:lang w:eastAsia="zh-CN"/>
        </w:rPr>
        <w:t>元，资金到位率</w:t>
      </w:r>
      <w:r>
        <w:rPr>
          <w:rFonts w:hint="eastAsia" w:ascii="宋体" w:hAnsi="宋体" w:eastAsia="宋体" w:cs="宋体"/>
          <w:spacing w:val="-15"/>
          <w:sz w:val="30"/>
          <w:szCs w:val="30"/>
          <w:lang w:val="en-US" w:eastAsia="zh-CN"/>
        </w:rPr>
        <w:t>100</w:t>
      </w:r>
      <w:r>
        <w:rPr>
          <w:rFonts w:hint="eastAsia" w:ascii="宋体" w:hAnsi="宋体" w:eastAsia="宋体" w:cs="宋体"/>
          <w:spacing w:val="-15"/>
          <w:sz w:val="30"/>
          <w:szCs w:val="30"/>
          <w:lang w:eastAsia="zh-CN"/>
        </w:rPr>
        <w:t>%。</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2</w:t>
      </w: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预算</w:t>
      </w:r>
      <w:r>
        <w:rPr>
          <w:rFonts w:hint="eastAsia" w:ascii="宋体" w:hAnsi="宋体" w:eastAsia="宋体" w:cs="宋体"/>
          <w:spacing w:val="-15"/>
          <w:sz w:val="30"/>
          <w:szCs w:val="30"/>
          <w:lang w:eastAsia="zh-CN"/>
        </w:rPr>
        <w:t>执行率</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专项债券资金支出</w:t>
      </w:r>
      <w:r>
        <w:rPr>
          <w:rFonts w:hint="eastAsia" w:ascii="宋体" w:hAnsi="宋体" w:eastAsia="宋体" w:cs="宋体"/>
          <w:spacing w:val="-15"/>
          <w:sz w:val="30"/>
          <w:szCs w:val="30"/>
          <w:lang w:val="en-US" w:eastAsia="zh-CN"/>
        </w:rPr>
        <w:t>0.54亿</w:t>
      </w:r>
      <w:r>
        <w:rPr>
          <w:rFonts w:hint="eastAsia" w:ascii="宋体" w:hAnsi="宋体" w:eastAsia="宋体" w:cs="宋体"/>
          <w:spacing w:val="-15"/>
          <w:sz w:val="30"/>
          <w:szCs w:val="30"/>
          <w:lang w:eastAsia="zh-CN"/>
        </w:rPr>
        <w:t>元，</w:t>
      </w:r>
      <w:r>
        <w:rPr>
          <w:rFonts w:hint="eastAsia" w:ascii="宋体" w:hAnsi="宋体" w:eastAsia="宋体" w:cs="宋体"/>
          <w:spacing w:val="-15"/>
          <w:sz w:val="30"/>
          <w:szCs w:val="30"/>
          <w:lang w:val="en-US" w:eastAsia="zh-CN"/>
        </w:rPr>
        <w:t>预算执行率为100%</w:t>
      </w:r>
      <w:r>
        <w:rPr>
          <w:rFonts w:hint="eastAsia" w:ascii="宋体" w:hAnsi="宋体" w:eastAsia="宋体" w:cs="宋体"/>
          <w:spacing w:val="-15"/>
          <w:sz w:val="30"/>
          <w:szCs w:val="30"/>
          <w:lang w:eastAsia="zh-CN"/>
        </w:rPr>
        <w:t>。</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（3）</w:t>
      </w:r>
      <w:r>
        <w:rPr>
          <w:rFonts w:hint="eastAsia" w:ascii="宋体" w:hAnsi="宋体" w:eastAsia="宋体" w:cs="宋体"/>
          <w:spacing w:val="-15"/>
          <w:sz w:val="30"/>
          <w:szCs w:val="30"/>
          <w:lang w:eastAsia="zh-CN"/>
        </w:rPr>
        <w:t>资金使用合规性</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 xml:space="preserve">项目的资金使用符合国家财经法规和财务管理制度，不存在截留、挤占、挪用、虚列支出等情况。  </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（4）</w:t>
      </w:r>
      <w:r>
        <w:rPr>
          <w:rFonts w:hint="eastAsia" w:ascii="宋体" w:hAnsi="宋体" w:eastAsia="宋体" w:cs="宋体"/>
          <w:spacing w:val="-15"/>
          <w:sz w:val="30"/>
          <w:szCs w:val="30"/>
          <w:lang w:eastAsia="zh-CN"/>
        </w:rPr>
        <w:t>管理制度健全性</w:t>
      </w:r>
    </w:p>
    <w:p>
      <w:p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eastAsia="zh-CN"/>
        </w:rPr>
        <w:t>重要决策事项会议制度：涉及项目推进的重大决策事项，由公司或集团领导组织项目部成员研究，相关决策公司研究通过后报集团推进专题党委会研究。</w:t>
      </w:r>
    </w:p>
    <w:p>
      <w:p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eastAsia="zh-CN"/>
        </w:rPr>
        <w:t>医疗专项会议制度：该会议由院方、平陵集团提议，建设方牵头组织，推进医疗专项及医疗设备设计、采购、安装、施工、验收，做好过程控制，保障验收交付。</w:t>
      </w:r>
    </w:p>
    <w:p>
      <w:p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eastAsia="zh-CN"/>
        </w:rPr>
        <w:t>办公会议制度：每周二由项目负责人组织召开，研究项目部所有事项处理方法，明确处理程序，确保时效性。</w:t>
      </w:r>
    </w:p>
    <w:p>
      <w:p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eastAsia="zh-CN"/>
        </w:rPr>
        <w:t>成本控制会议制度：每月末由审计单位牵头组织，向项目部汇报实时审计情况并提出成本控制建议。</w:t>
      </w:r>
    </w:p>
    <w:p>
      <w:p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eastAsia="zh-CN"/>
        </w:rPr>
        <w:t>监理会议制度：每周五由监理单位牵头组织，汇报项目一周工作情况、协调重要事项，项目部宣布重要决定。</w:t>
      </w:r>
    </w:p>
    <w:p>
      <w:pPr>
        <w:adjustRightInd w:val="0"/>
        <w:snapToGrid w:val="0"/>
        <w:spacing w:line="574" w:lineRule="exact"/>
        <w:ind w:firstLine="540" w:firstLineChars="200"/>
        <w:jc w:val="both"/>
        <w:rPr>
          <w:rFonts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eastAsia="zh-CN"/>
        </w:rPr>
        <w:t>专项会议制度：针对项目技术、成本、工程的推进工作，由项目部各科室组织，做好会议记录。</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（5）</w:t>
      </w:r>
      <w:r>
        <w:rPr>
          <w:rFonts w:hint="eastAsia" w:ascii="宋体" w:hAnsi="宋体" w:eastAsia="宋体" w:cs="宋体"/>
          <w:spacing w:val="-15"/>
          <w:sz w:val="30"/>
          <w:szCs w:val="30"/>
          <w:lang w:eastAsia="zh-CN"/>
        </w:rPr>
        <w:t>制度执行有效性</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eastAsia="zh-CN"/>
        </w:rPr>
        <w:t>项目负责人：对项目进行全面管理，负责项目推进与汇报，保障竣工交付工作。</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val="en-US" w:eastAsia="zh-CN"/>
        </w:rPr>
        <w:t>运营管理</w:t>
      </w:r>
      <w:r>
        <w:rPr>
          <w:rFonts w:hint="eastAsia" w:ascii="宋体" w:hAnsi="宋体" w:eastAsia="宋体" w:cs="宋体"/>
          <w:spacing w:val="-15"/>
          <w:sz w:val="30"/>
          <w:szCs w:val="30"/>
          <w:highlight w:val="none"/>
          <w:lang w:eastAsia="zh-CN"/>
        </w:rPr>
        <w:t>：主持项目部运营工作，负责项目现场管理、技术保障、内外协调工作，负责进度推进及验收保障工作，项目评优建设小组组长。</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val="en-US" w:eastAsia="zh-CN"/>
        </w:rPr>
        <w:t>技术管理</w:t>
      </w:r>
      <w:r>
        <w:rPr>
          <w:rFonts w:hint="eastAsia" w:ascii="宋体" w:hAnsi="宋体" w:eastAsia="宋体" w:cs="宋体"/>
          <w:spacing w:val="-15"/>
          <w:sz w:val="30"/>
          <w:szCs w:val="30"/>
          <w:highlight w:val="none"/>
          <w:lang w:eastAsia="zh-CN"/>
        </w:rPr>
        <w:t>：负责项目技术管理工作，负责方案、施工图、增项等技术审核工作，一期、二期技术负责人，负责项目宣传及临时党支部宣传工作，协助对外协调工作。</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val="en-US" w:eastAsia="zh-CN"/>
        </w:rPr>
        <w:t>现场管理</w:t>
      </w:r>
      <w:r>
        <w:rPr>
          <w:rFonts w:hint="eastAsia" w:ascii="宋体" w:hAnsi="宋体" w:eastAsia="宋体" w:cs="宋体"/>
          <w:spacing w:val="-15"/>
          <w:sz w:val="30"/>
          <w:szCs w:val="30"/>
          <w:highlight w:val="none"/>
          <w:lang w:eastAsia="zh-CN"/>
        </w:rPr>
        <w:t>：负责机电、设备安装、医疗专项现场管理工作，负责水、电、气、光伏、充电桩等配套工程工作，负责工程验收前设备调试工作。</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val="en-US" w:eastAsia="zh-CN"/>
        </w:rPr>
        <w:t>投资管理</w:t>
      </w:r>
      <w:r>
        <w:rPr>
          <w:rFonts w:hint="eastAsia" w:ascii="宋体" w:hAnsi="宋体" w:eastAsia="宋体" w:cs="宋体"/>
          <w:spacing w:val="-15"/>
          <w:sz w:val="30"/>
          <w:szCs w:val="30"/>
          <w:highlight w:val="none"/>
          <w:lang w:eastAsia="zh-CN"/>
        </w:rPr>
        <w:t>：负责成本控制会、推进会工作，一期现场代表，负责推进二期安全、质量、进度、形象、成本及做好汇总，协助成本控制，协助现场管理工作。</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val="en-US" w:eastAsia="zh-CN"/>
        </w:rPr>
        <w:t>综合管理</w:t>
      </w:r>
      <w:r>
        <w:rPr>
          <w:rFonts w:hint="eastAsia" w:ascii="宋体" w:hAnsi="宋体" w:eastAsia="宋体" w:cs="宋体"/>
          <w:spacing w:val="-15"/>
          <w:sz w:val="30"/>
          <w:szCs w:val="30"/>
          <w:highlight w:val="none"/>
          <w:lang w:eastAsia="zh-CN"/>
        </w:rPr>
        <w:t>：负责项目部日常保障、会议准备工作，负责资料的收集、整理、归档，配合项目开竣工手续办理工作。</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2、</w:t>
      </w:r>
      <w:r>
        <w:rPr>
          <w:rFonts w:hint="eastAsia" w:ascii="宋体" w:hAnsi="宋体" w:eastAsia="宋体" w:cs="宋体"/>
          <w:spacing w:val="-15"/>
          <w:sz w:val="30"/>
          <w:szCs w:val="30"/>
          <w:lang w:eastAsia="zh-CN"/>
        </w:rPr>
        <w:t>项目产出</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1</w:t>
      </w:r>
      <w:r>
        <w:rPr>
          <w:rFonts w:hint="eastAsia" w:ascii="宋体" w:hAnsi="宋体" w:eastAsia="宋体" w:cs="宋体"/>
          <w:spacing w:val="-15"/>
          <w:sz w:val="30"/>
          <w:szCs w:val="30"/>
          <w:lang w:eastAsia="zh-CN"/>
        </w:rPr>
        <w:t>）数量指标</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eastAsia="zh-CN"/>
        </w:rPr>
        <w:t>安装工程已完成工程量</w:t>
      </w:r>
      <w:r>
        <w:rPr>
          <w:rFonts w:hint="eastAsia" w:ascii="宋体" w:hAnsi="宋体" w:eastAsia="宋体" w:cs="宋体"/>
          <w:spacing w:val="-15"/>
          <w:sz w:val="30"/>
          <w:szCs w:val="30"/>
          <w:highlight w:val="none"/>
          <w:lang w:val="en-US" w:eastAsia="zh-CN"/>
        </w:rPr>
        <w:t>80%</w:t>
      </w:r>
      <w:r>
        <w:rPr>
          <w:rFonts w:hint="eastAsia" w:ascii="宋体" w:hAnsi="宋体" w:eastAsia="宋体" w:cs="宋体"/>
          <w:spacing w:val="-15"/>
          <w:sz w:val="30"/>
          <w:szCs w:val="30"/>
          <w:highlight w:val="none"/>
          <w:lang w:eastAsia="zh-CN"/>
        </w:rPr>
        <w:t>。</w:t>
      </w:r>
    </w:p>
    <w:p>
      <w:pPr>
        <w:numPr>
          <w:ilvl w:val="0"/>
          <w:numId w:val="0"/>
        </w:numPr>
        <w:adjustRightInd w:val="0"/>
        <w:snapToGrid w:val="0"/>
        <w:spacing w:line="574" w:lineRule="exact"/>
        <w:ind w:firstLine="540" w:firstLineChars="200"/>
        <w:jc w:val="both"/>
        <w:rPr>
          <w:rFonts w:hint="default" w:ascii="宋体" w:hAnsi="宋体" w:eastAsia="宋体" w:cs="宋体"/>
          <w:spacing w:val="-15"/>
          <w:sz w:val="30"/>
          <w:szCs w:val="30"/>
          <w:highlight w:val="none"/>
          <w:lang w:val="en-US" w:eastAsia="zh-CN"/>
        </w:rPr>
      </w:pPr>
      <w:r>
        <w:rPr>
          <w:rFonts w:hint="eastAsia" w:ascii="宋体" w:hAnsi="宋体" w:eastAsia="宋体" w:cs="宋体"/>
          <w:spacing w:val="-15"/>
          <w:sz w:val="30"/>
          <w:szCs w:val="30"/>
          <w:highlight w:val="none"/>
          <w:lang w:eastAsia="zh-CN"/>
        </w:rPr>
        <w:t>装修工程已完成工程量</w:t>
      </w:r>
      <w:r>
        <w:rPr>
          <w:rFonts w:hint="eastAsia" w:ascii="宋体" w:hAnsi="宋体" w:eastAsia="宋体" w:cs="宋体"/>
          <w:spacing w:val="-15"/>
          <w:sz w:val="30"/>
          <w:szCs w:val="30"/>
          <w:highlight w:val="none"/>
          <w:lang w:val="en-US" w:eastAsia="zh-CN"/>
        </w:rPr>
        <w:t>100%</w:t>
      </w:r>
      <w:r>
        <w:rPr>
          <w:rFonts w:hint="eastAsia" w:ascii="宋体" w:hAnsi="宋体" w:eastAsia="宋体" w:cs="宋体"/>
          <w:spacing w:val="-15"/>
          <w:sz w:val="30"/>
          <w:szCs w:val="30"/>
          <w:highlight w:val="none"/>
          <w:lang w:eastAsia="zh-CN"/>
        </w:rPr>
        <w:t>，</w:t>
      </w:r>
      <w:r>
        <w:rPr>
          <w:rFonts w:hint="eastAsia" w:ascii="宋体" w:hAnsi="宋体" w:eastAsia="宋体" w:cs="宋体"/>
          <w:spacing w:val="-15"/>
          <w:sz w:val="30"/>
          <w:szCs w:val="30"/>
          <w:highlight w:val="none"/>
          <w:lang w:val="en-US" w:eastAsia="zh-CN"/>
        </w:rPr>
        <w:t>于2023年12月29日预验收。</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highlight w:val="none"/>
          <w:lang w:val="en-US" w:eastAsia="zh-CN"/>
        </w:rPr>
      </w:pPr>
      <w:r>
        <w:rPr>
          <w:rFonts w:hint="eastAsia" w:ascii="宋体" w:hAnsi="宋体" w:eastAsia="宋体" w:cs="宋体"/>
          <w:spacing w:val="-15"/>
          <w:sz w:val="30"/>
          <w:szCs w:val="30"/>
          <w:highlight w:val="none"/>
          <w:lang w:eastAsia="zh-CN"/>
        </w:rPr>
        <w:t>医疗专项工程已完成工程量</w:t>
      </w:r>
      <w:r>
        <w:rPr>
          <w:rFonts w:hint="eastAsia" w:ascii="宋体" w:hAnsi="宋体" w:eastAsia="宋体" w:cs="宋体"/>
          <w:spacing w:val="-15"/>
          <w:sz w:val="30"/>
          <w:szCs w:val="30"/>
          <w:highlight w:val="none"/>
          <w:lang w:val="en-US" w:eastAsia="zh-CN"/>
        </w:rPr>
        <w:t>100%：2023年1月1日至2023年11月30日已按照合同约定完成全部工程</w:t>
      </w:r>
      <w:bookmarkStart w:id="4" w:name="_GoBack"/>
      <w:bookmarkEnd w:id="4"/>
      <w:r>
        <w:rPr>
          <w:rFonts w:hint="eastAsia" w:ascii="宋体" w:hAnsi="宋体" w:eastAsia="宋体" w:cs="宋体"/>
          <w:spacing w:val="-15"/>
          <w:sz w:val="30"/>
          <w:szCs w:val="30"/>
          <w:highlight w:val="none"/>
          <w:lang w:val="en-US" w:eastAsia="zh-CN"/>
        </w:rPr>
        <w:t>量，具备验收条件。</w:t>
      </w:r>
    </w:p>
    <w:p>
      <w:pPr>
        <w:numPr>
          <w:ilvl w:val="0"/>
          <w:numId w:val="0"/>
        </w:numPr>
        <w:adjustRightInd w:val="0"/>
        <w:snapToGrid w:val="0"/>
        <w:spacing w:line="574" w:lineRule="exact"/>
        <w:ind w:left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2</w:t>
      </w:r>
      <w:r>
        <w:rPr>
          <w:rFonts w:hint="eastAsia" w:ascii="宋体" w:hAnsi="宋体" w:eastAsia="宋体" w:cs="宋体"/>
          <w:spacing w:val="-15"/>
          <w:sz w:val="30"/>
          <w:szCs w:val="30"/>
          <w:lang w:eastAsia="zh-CN"/>
        </w:rPr>
        <w:t>）质量指标</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highlight w:val="none"/>
          <w:lang w:val="en-US" w:eastAsia="zh-CN"/>
        </w:rPr>
      </w:pPr>
      <w:r>
        <w:rPr>
          <w:rFonts w:hint="eastAsia" w:ascii="宋体" w:hAnsi="宋体" w:eastAsia="宋体" w:cs="宋体"/>
          <w:spacing w:val="-15"/>
          <w:sz w:val="30"/>
          <w:szCs w:val="30"/>
          <w:highlight w:val="none"/>
          <w:lang w:val="en-US" w:eastAsia="zh-CN"/>
        </w:rPr>
        <w:t>分部（子分部）工程质量验收在各分项工程验收合格的基础上，由施工单位向建设单位提出报验申请，由建设单位项目负责人组织施工单位和监理、设计等有关单位项目负责人及技术负责人进行验收。</w:t>
      </w:r>
    </w:p>
    <w:p>
      <w:pPr>
        <w:numPr>
          <w:ilvl w:val="0"/>
          <w:numId w:val="0"/>
        </w:numPr>
        <w:adjustRightInd w:val="0"/>
        <w:snapToGrid w:val="0"/>
        <w:spacing w:line="574" w:lineRule="exact"/>
        <w:ind w:firstLine="540" w:firstLineChars="200"/>
        <w:jc w:val="both"/>
        <w:rPr>
          <w:rFonts w:hint="default" w:ascii="宋体" w:hAnsi="宋体" w:eastAsia="宋体" w:cs="宋体"/>
          <w:spacing w:val="-15"/>
          <w:sz w:val="30"/>
          <w:szCs w:val="30"/>
          <w:highlight w:val="none"/>
          <w:lang w:val="en-US" w:eastAsia="zh-CN"/>
        </w:rPr>
      </w:pPr>
      <w:r>
        <w:rPr>
          <w:rFonts w:hint="eastAsia" w:ascii="宋体" w:hAnsi="宋体" w:eastAsia="宋体" w:cs="宋体"/>
          <w:spacing w:val="-15"/>
          <w:sz w:val="30"/>
          <w:szCs w:val="30"/>
          <w:highlight w:val="none"/>
          <w:lang w:val="en-US" w:eastAsia="zh-CN"/>
        </w:rPr>
        <w:t>1#综合大楼机电安装工程、室内给排水工程和装修工程分部（子分部）工程所含分项工程的质量合格。质量控制资料齐全。检验报告齐全，符合设计及规范要求。</w:t>
      </w:r>
    </w:p>
    <w:p>
      <w:pPr>
        <w:adjustRightInd w:val="0"/>
        <w:snapToGrid w:val="0"/>
        <w:spacing w:line="574" w:lineRule="exact"/>
        <w:ind w:firstLine="540" w:firstLineChars="200"/>
        <w:jc w:val="both"/>
        <w:rPr>
          <w:rFonts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eastAsia="zh-CN"/>
        </w:rPr>
        <w:t>（</w:t>
      </w:r>
      <w:r>
        <w:rPr>
          <w:rFonts w:hint="eastAsia" w:ascii="宋体" w:hAnsi="宋体" w:eastAsia="宋体" w:cs="宋体"/>
          <w:spacing w:val="-15"/>
          <w:sz w:val="30"/>
          <w:szCs w:val="30"/>
          <w:highlight w:val="none"/>
          <w:lang w:val="en-US" w:eastAsia="zh-CN"/>
        </w:rPr>
        <w:t>3</w:t>
      </w:r>
      <w:r>
        <w:rPr>
          <w:rFonts w:hint="eastAsia" w:ascii="宋体" w:hAnsi="宋体" w:eastAsia="宋体" w:cs="宋体"/>
          <w:spacing w:val="-15"/>
          <w:sz w:val="30"/>
          <w:szCs w:val="30"/>
          <w:highlight w:val="none"/>
          <w:lang w:eastAsia="zh-CN"/>
        </w:rPr>
        <w:t>）时效指标</w:t>
      </w:r>
    </w:p>
    <w:p>
      <w:pPr>
        <w:adjustRightInd w:val="0"/>
        <w:snapToGrid w:val="0"/>
        <w:spacing w:line="574" w:lineRule="exact"/>
        <w:ind w:firstLine="540" w:firstLineChars="200"/>
        <w:jc w:val="both"/>
        <w:rPr>
          <w:rFonts w:hint="eastAsia" w:ascii="宋体" w:hAnsi="宋体" w:eastAsia="宋体" w:cs="宋体"/>
          <w:spacing w:val="-15"/>
          <w:sz w:val="30"/>
          <w:szCs w:val="30"/>
          <w:highlight w:val="none"/>
          <w:lang w:val="en-US" w:eastAsia="zh-CN"/>
        </w:rPr>
      </w:pPr>
      <w:r>
        <w:rPr>
          <w:rFonts w:hint="eastAsia" w:ascii="宋体" w:hAnsi="宋体" w:eastAsia="宋体" w:cs="宋体"/>
          <w:spacing w:val="-15"/>
          <w:sz w:val="30"/>
          <w:szCs w:val="30"/>
          <w:highlight w:val="none"/>
          <w:lang w:eastAsia="zh-CN"/>
        </w:rPr>
        <w:t>溧阳市医疗健康中心建设工程</w:t>
      </w:r>
      <w:r>
        <w:rPr>
          <w:rFonts w:hint="eastAsia" w:ascii="宋体" w:hAnsi="宋体" w:eastAsia="宋体" w:cs="宋体"/>
          <w:spacing w:val="-15"/>
          <w:sz w:val="30"/>
          <w:szCs w:val="30"/>
          <w:highlight w:val="none"/>
          <w:lang w:val="en-US" w:eastAsia="zh-CN"/>
        </w:rPr>
        <w:t>于2021年5月6日开工，与计划开工日期一致，开工及时。开工前，施工现场已完成通水、通电、通讯、通路及场地平整，施工区域的围护施工便道已完成。施工组织设计已审批，施工用水、用电已按施工方案布置完毕。临时设施办公、住宿、工作间、工作棚搭设完毕。机械设备已进场，劳动力组织已到位。施工图已审查备案。</w:t>
      </w:r>
    </w:p>
    <w:p>
      <w:pPr>
        <w:adjustRightInd w:val="0"/>
        <w:snapToGrid w:val="0"/>
        <w:spacing w:line="574" w:lineRule="exact"/>
        <w:ind w:firstLine="540" w:firstLineChars="200"/>
        <w:jc w:val="both"/>
        <w:rPr>
          <w:rFonts w:hint="eastAsia" w:ascii="宋体" w:hAnsi="宋体" w:eastAsia="宋体" w:cs="宋体"/>
          <w:spacing w:val="-15"/>
          <w:sz w:val="30"/>
          <w:szCs w:val="30"/>
          <w:highlight w:val="cyan"/>
          <w:lang w:val="en-US" w:eastAsia="zh-CN"/>
        </w:rPr>
      </w:pPr>
      <w:r>
        <w:rPr>
          <w:rFonts w:hint="eastAsia" w:ascii="宋体" w:hAnsi="宋体" w:eastAsia="宋体" w:cs="宋体"/>
          <w:spacing w:val="-15"/>
          <w:sz w:val="30"/>
          <w:szCs w:val="30"/>
          <w:highlight w:val="none"/>
          <w:lang w:val="en-US" w:eastAsia="zh-CN"/>
        </w:rPr>
        <w:t>中医院一期土建、幕墙、机电收尾，装饰、医疗专项等配套全面推进；绿化景观工程综合进度完成48%，医疗固定家具项目目前已完成50%，现需与装修单位配合施工；室内专变电合同已签订，进场对接；厨房及洗衣房项目现场图纸深化初步完成，准备进场施工。</w:t>
      </w:r>
    </w:p>
    <w:p>
      <w:pPr>
        <w:adjustRightInd w:val="0"/>
        <w:snapToGrid w:val="0"/>
        <w:spacing w:line="574" w:lineRule="exact"/>
        <w:ind w:firstLine="540" w:firstLineChars="200"/>
        <w:jc w:val="both"/>
        <w:rPr>
          <w:rFonts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eastAsia="zh-CN"/>
        </w:rPr>
        <w:t>（</w:t>
      </w:r>
      <w:r>
        <w:rPr>
          <w:rFonts w:hint="eastAsia" w:ascii="宋体" w:hAnsi="宋体" w:eastAsia="宋体" w:cs="宋体"/>
          <w:spacing w:val="-15"/>
          <w:sz w:val="30"/>
          <w:szCs w:val="30"/>
          <w:highlight w:val="none"/>
          <w:lang w:val="en-US" w:eastAsia="zh-CN"/>
        </w:rPr>
        <w:t>4</w:t>
      </w:r>
      <w:r>
        <w:rPr>
          <w:rFonts w:hint="eastAsia" w:ascii="宋体" w:hAnsi="宋体" w:eastAsia="宋体" w:cs="宋体"/>
          <w:spacing w:val="-15"/>
          <w:sz w:val="30"/>
          <w:szCs w:val="30"/>
          <w:highlight w:val="none"/>
          <w:lang w:eastAsia="zh-CN"/>
        </w:rPr>
        <w:t>）成本指标</w:t>
      </w:r>
    </w:p>
    <w:p>
      <w:p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eastAsia="zh-CN"/>
        </w:rPr>
        <w:t>年度计划成本偏离率</w:t>
      </w:r>
      <w:r>
        <w:rPr>
          <w:rFonts w:hint="eastAsia" w:ascii="宋体" w:hAnsi="宋体" w:eastAsia="宋体" w:cs="宋体"/>
          <w:spacing w:val="-15"/>
          <w:sz w:val="30"/>
          <w:szCs w:val="30"/>
          <w:lang w:val="en-US" w:eastAsia="zh-CN"/>
        </w:rPr>
        <w:t>0%。</w:t>
      </w:r>
    </w:p>
    <w:p>
      <w:p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三</w:t>
      </w: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效益</w:t>
      </w:r>
    </w:p>
    <w:p>
      <w:p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1</w:t>
      </w: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经济效益</w:t>
      </w:r>
    </w:p>
    <w:p>
      <w:p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eastAsia="zh-CN"/>
        </w:rPr>
        <w:t>经批准的可研投资估算作为成本控制的依据，</w:t>
      </w:r>
      <w:r>
        <w:rPr>
          <w:rFonts w:hint="eastAsia" w:ascii="宋体" w:hAnsi="宋体" w:eastAsia="宋体" w:cs="宋体"/>
          <w:spacing w:val="-15"/>
          <w:sz w:val="30"/>
          <w:szCs w:val="30"/>
          <w:lang w:val="en-US" w:eastAsia="zh-CN"/>
        </w:rPr>
        <w:t>不</w:t>
      </w:r>
      <w:r>
        <w:rPr>
          <w:rFonts w:hint="eastAsia" w:ascii="宋体" w:hAnsi="宋体" w:eastAsia="宋体" w:cs="宋体"/>
          <w:spacing w:val="-15"/>
          <w:sz w:val="30"/>
          <w:szCs w:val="30"/>
          <w:lang w:eastAsia="zh-CN"/>
        </w:rPr>
        <w:t>超可研总投资批复的10%。2023年计划完成投资54300</w:t>
      </w:r>
      <w:r>
        <w:rPr>
          <w:rFonts w:hint="eastAsia" w:ascii="宋体" w:hAnsi="宋体" w:eastAsia="宋体" w:cs="宋体"/>
          <w:spacing w:val="-15"/>
          <w:sz w:val="30"/>
          <w:szCs w:val="30"/>
          <w:lang w:val="en-US" w:eastAsia="zh-CN"/>
        </w:rPr>
        <w:t>万元，已完成投资42200万元，计划投资任务完成率77.72%。</w:t>
      </w:r>
    </w:p>
    <w:p>
      <w:pPr>
        <w:numPr>
          <w:ilvl w:val="0"/>
          <w:numId w:val="4"/>
        </w:numPr>
        <w:adjustRightInd w:val="0"/>
        <w:snapToGrid w:val="0"/>
        <w:spacing w:line="574" w:lineRule="exact"/>
        <w:ind w:firstLine="540" w:firstLineChars="200"/>
        <w:jc w:val="both"/>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 xml:space="preserve">社会效益 </w:t>
      </w:r>
    </w:p>
    <w:p>
      <w:pPr>
        <w:numPr>
          <w:ilvl w:val="0"/>
          <w:numId w:val="0"/>
        </w:numPr>
        <w:adjustRightInd w:val="0"/>
        <w:snapToGrid w:val="0"/>
        <w:spacing w:line="574" w:lineRule="exact"/>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 xml:space="preserve">     施工期间未受交通部门处罚，合理规划施工，未占用社会资源。</w:t>
      </w:r>
    </w:p>
    <w:p>
      <w:pPr>
        <w:numPr>
          <w:ilvl w:val="0"/>
          <w:numId w:val="4"/>
        </w:num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生态效益</w:t>
      </w:r>
    </w:p>
    <w:p>
      <w:pPr>
        <w:numPr>
          <w:ilvl w:val="0"/>
          <w:numId w:val="0"/>
        </w:numPr>
        <w:adjustRightInd w:val="0"/>
        <w:snapToGrid w:val="0"/>
        <w:spacing w:line="574" w:lineRule="exact"/>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 xml:space="preserve">     施工现场环境保护符合要求，未受环保部门处罚。</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四</w:t>
      </w:r>
      <w:r>
        <w:rPr>
          <w:rFonts w:hint="eastAsia" w:ascii="宋体" w:hAnsi="宋体" w:eastAsia="宋体" w:cs="宋体"/>
          <w:spacing w:val="-15"/>
          <w:sz w:val="30"/>
          <w:szCs w:val="30"/>
          <w:lang w:eastAsia="zh-CN"/>
        </w:rPr>
        <w:t>）满意度</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 xml:space="preserve"> 项目全面分析所涉及区域、行业群众利益和生产生活的影响，及群众对影响的承受能力。经过充分论证，项目符合大多数人民群众的意愿，所需的人力、财力、物力在可承受的范围内并且有保障，能确保连续性和稳定性。</w:t>
      </w:r>
      <w:r>
        <w:rPr>
          <w:rFonts w:hint="eastAsia" w:ascii="宋体" w:hAnsi="宋体" w:eastAsia="宋体" w:cs="宋体"/>
          <w:spacing w:val="-15"/>
          <w:sz w:val="30"/>
          <w:szCs w:val="30"/>
          <w:lang w:val="en-US" w:eastAsia="zh-CN"/>
        </w:rPr>
        <w:t>项目建设过程中，</w:t>
      </w:r>
      <w:r>
        <w:rPr>
          <w:rFonts w:hint="eastAsia" w:ascii="宋体" w:hAnsi="宋体" w:eastAsia="宋体" w:cs="宋体"/>
          <w:spacing w:val="-15"/>
          <w:sz w:val="30"/>
          <w:szCs w:val="30"/>
          <w:lang w:eastAsia="zh-CN"/>
        </w:rPr>
        <w:t>未受</w:t>
      </w:r>
      <w:r>
        <w:rPr>
          <w:rFonts w:hint="eastAsia" w:ascii="宋体" w:hAnsi="宋体" w:eastAsia="宋体" w:cs="宋体"/>
          <w:spacing w:val="-15"/>
          <w:sz w:val="30"/>
          <w:szCs w:val="30"/>
          <w:lang w:val="en-US" w:eastAsia="zh-CN"/>
        </w:rPr>
        <w:t>到周边居民的</w:t>
      </w:r>
      <w:r>
        <w:rPr>
          <w:rFonts w:hint="eastAsia" w:ascii="宋体" w:hAnsi="宋体" w:eastAsia="宋体" w:cs="宋体"/>
          <w:spacing w:val="-15"/>
          <w:sz w:val="30"/>
          <w:szCs w:val="30"/>
          <w:lang w:eastAsia="zh-CN"/>
        </w:rPr>
        <w:t>投诉。</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经过综合评价，自评得分</w:t>
      </w:r>
      <w:r>
        <w:rPr>
          <w:rFonts w:hint="eastAsia" w:ascii="宋体" w:hAnsi="宋体" w:eastAsia="宋体" w:cs="宋体"/>
          <w:sz w:val="30"/>
          <w:szCs w:val="30"/>
          <w:highlight w:val="none"/>
          <w:lang w:eastAsia="zh-CN"/>
        </w:rPr>
        <w:t>为</w:t>
      </w:r>
      <w:r>
        <w:rPr>
          <w:rFonts w:hint="eastAsia" w:ascii="宋体" w:hAnsi="宋体" w:eastAsia="宋体" w:cs="宋体"/>
          <w:sz w:val="30"/>
          <w:szCs w:val="30"/>
          <w:highlight w:val="none"/>
          <w:lang w:val="en-US" w:eastAsia="zh-CN"/>
        </w:rPr>
        <w:t>98.89</w:t>
      </w:r>
      <w:r>
        <w:rPr>
          <w:rFonts w:hint="eastAsia" w:ascii="宋体" w:hAnsi="宋体" w:eastAsia="宋体" w:cs="宋体"/>
          <w:sz w:val="30"/>
          <w:szCs w:val="30"/>
          <w:highlight w:val="none"/>
          <w:lang w:eastAsia="zh-CN"/>
        </w:rPr>
        <w:t>分</w:t>
      </w:r>
      <w:r>
        <w:rPr>
          <w:rFonts w:hint="eastAsia" w:ascii="宋体" w:hAnsi="宋体" w:eastAsia="宋体" w:cs="宋体"/>
          <w:sz w:val="30"/>
          <w:szCs w:val="30"/>
          <w:lang w:eastAsia="zh-CN"/>
        </w:rPr>
        <w:t>，项目评价等级为优。</w:t>
      </w:r>
    </w:p>
    <w:p>
      <w:pPr>
        <w:numPr>
          <w:ilvl w:val="0"/>
          <w:numId w:val="5"/>
        </w:numPr>
        <w:adjustRightInd w:val="0"/>
        <w:snapToGrid w:val="0"/>
        <w:spacing w:line="574" w:lineRule="exact"/>
        <w:ind w:firstLine="602" w:firstLineChars="200"/>
        <w:jc w:val="both"/>
        <w:rPr>
          <w:rFonts w:ascii="宋体" w:hAnsi="宋体" w:eastAsia="宋体" w:cs="宋体"/>
          <w:sz w:val="30"/>
          <w:szCs w:val="30"/>
          <w:lang w:eastAsia="zh-CN"/>
        </w:rPr>
      </w:pPr>
      <w:r>
        <w:rPr>
          <w:rFonts w:hint="eastAsia" w:ascii="宋体" w:hAnsi="宋体" w:eastAsia="宋体" w:cs="宋体"/>
          <w:b/>
          <w:bCs/>
          <w:sz w:val="30"/>
          <w:szCs w:val="30"/>
          <w:lang w:eastAsia="zh-CN"/>
        </w:rPr>
        <w:t>项目绩效</w:t>
      </w:r>
    </w:p>
    <w:p>
      <w:pPr>
        <w:numPr>
          <w:ilvl w:val="0"/>
          <w:numId w:val="6"/>
        </w:numPr>
        <w:adjustRightInd w:val="0"/>
        <w:snapToGrid w:val="0"/>
        <w:spacing w:line="574" w:lineRule="exact"/>
        <w:ind w:firstLine="54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投资管理</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1、</w:t>
      </w:r>
      <w:r>
        <w:rPr>
          <w:rFonts w:hint="eastAsia" w:ascii="宋体" w:hAnsi="宋体" w:eastAsia="宋体" w:cs="宋体"/>
          <w:spacing w:val="-15"/>
          <w:sz w:val="30"/>
          <w:szCs w:val="30"/>
          <w:lang w:eastAsia="zh-CN"/>
        </w:rPr>
        <w:t>按照项目实施进度、合同约定等向财政部门申请拨付资金。项目开工后，积极推进施工过程结算，按照时间节点或者进度节点约定付款周期，对分部质量验收通过的工程量，原则上同步计量、确认和支付工程价款。</w:t>
      </w:r>
    </w:p>
    <w:p>
      <w:p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val="en-US" w:eastAsia="zh-CN"/>
        </w:rPr>
        <w:t>2、</w:t>
      </w:r>
      <w:r>
        <w:rPr>
          <w:rFonts w:hint="eastAsia" w:ascii="宋体" w:hAnsi="宋体" w:eastAsia="宋体" w:cs="宋体"/>
          <w:spacing w:val="-15"/>
          <w:sz w:val="30"/>
          <w:szCs w:val="30"/>
          <w:highlight w:val="none"/>
          <w:lang w:eastAsia="zh-CN"/>
        </w:rPr>
        <w:t>现场变更由施工单位报至监理，监理签署初步意见后报项目部工程部，由工程部、技术部、成本控制部签署三方意见，设计单位出实施方案并由审计出具预算后报项目负责人同意后推进。</w:t>
      </w:r>
    </w:p>
    <w:p>
      <w:p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val="en-US" w:eastAsia="zh-CN"/>
        </w:rPr>
        <w:t>3、项目</w:t>
      </w:r>
      <w:r>
        <w:rPr>
          <w:rFonts w:hint="eastAsia" w:ascii="宋体" w:hAnsi="宋体" w:eastAsia="宋体" w:cs="宋体"/>
          <w:spacing w:val="-15"/>
          <w:sz w:val="30"/>
          <w:szCs w:val="30"/>
          <w:highlight w:val="none"/>
          <w:lang w:eastAsia="zh-CN"/>
        </w:rPr>
        <w:t>签证需由工程部牵头，审计计量，现场做好草签，审计出具预算后报至项目成本控制小组组长确认，完善手续。</w:t>
      </w:r>
    </w:p>
    <w:p>
      <w:p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val="en-US" w:eastAsia="zh-CN"/>
        </w:rPr>
        <w:t>4、</w:t>
      </w:r>
      <w:r>
        <w:rPr>
          <w:rFonts w:hint="eastAsia" w:ascii="宋体" w:hAnsi="宋体" w:eastAsia="宋体" w:cs="宋体"/>
          <w:spacing w:val="-15"/>
          <w:sz w:val="30"/>
          <w:szCs w:val="30"/>
          <w:highlight w:val="none"/>
          <w:lang w:eastAsia="zh-CN"/>
        </w:rPr>
        <w:t>工程款支付经项目负责人批准后走流程。</w:t>
      </w:r>
    </w:p>
    <w:p>
      <w:p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val="en-US" w:eastAsia="zh-CN"/>
        </w:rPr>
        <w:t>5、</w:t>
      </w:r>
      <w:r>
        <w:rPr>
          <w:rFonts w:hint="eastAsia" w:ascii="宋体" w:hAnsi="宋体" w:eastAsia="宋体" w:cs="宋体"/>
          <w:spacing w:val="-15"/>
          <w:sz w:val="30"/>
          <w:szCs w:val="30"/>
          <w:highlight w:val="none"/>
          <w:lang w:eastAsia="zh-CN"/>
        </w:rPr>
        <w:t>设计院到场服务、专家论证、贵宾到访等经项目部批准后走流程。</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6、</w:t>
      </w:r>
      <w:r>
        <w:rPr>
          <w:rFonts w:hint="eastAsia" w:ascii="宋体" w:hAnsi="宋体" w:eastAsia="宋体" w:cs="宋体"/>
          <w:spacing w:val="-15"/>
          <w:sz w:val="30"/>
          <w:szCs w:val="30"/>
          <w:lang w:eastAsia="zh-CN"/>
        </w:rPr>
        <w:t>本项目资金的使用完全在投资估算范围内，未发生超出估算的情况，项目资金按计划使用情况良好。</w:t>
      </w:r>
    </w:p>
    <w:p>
      <w:pPr>
        <w:numPr>
          <w:ilvl w:val="0"/>
          <w:numId w:val="6"/>
        </w:numPr>
        <w:adjustRightInd w:val="0"/>
        <w:snapToGrid w:val="0"/>
        <w:spacing w:line="574" w:lineRule="exact"/>
        <w:ind w:firstLine="54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 xml:space="preserve">质量管理   </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1、</w:t>
      </w:r>
      <w:r>
        <w:rPr>
          <w:rFonts w:hint="eastAsia" w:ascii="宋体" w:hAnsi="宋体" w:eastAsia="宋体" w:cs="宋体"/>
          <w:spacing w:val="-15"/>
          <w:sz w:val="30"/>
          <w:szCs w:val="30"/>
          <w:lang w:eastAsia="zh-CN"/>
        </w:rPr>
        <w:t>建立健全工程项目质量管理体系，配备专职人员并明确其质量管理职责。法定代表人按照规定签署授权书，明确项目负责人，项目负责人按照规定签署工程质量终身责任承诺书。</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2、项目开工后，</w:t>
      </w:r>
      <w:r>
        <w:rPr>
          <w:rFonts w:hint="eastAsia" w:ascii="宋体" w:hAnsi="宋体" w:eastAsia="宋体" w:cs="宋体"/>
          <w:spacing w:val="-15"/>
          <w:sz w:val="30"/>
          <w:szCs w:val="30"/>
          <w:lang w:eastAsia="zh-CN"/>
        </w:rPr>
        <w:t>督促勘察、设计、施工、监理等单位切实履行质量责任，按照工程质量管理标准化的要求贯彻落实工程质量安全手册制度、举牌验收制度、样板示范制度和质量责任追溯制度，严格按照合同约定加强对现场质量管理人员到岗履职情况的检查考核，及时组织处理建设过程中的质量问题。</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3、</w:t>
      </w:r>
      <w:r>
        <w:rPr>
          <w:rFonts w:hint="eastAsia" w:ascii="宋体" w:hAnsi="宋体" w:eastAsia="宋体" w:cs="宋体"/>
          <w:spacing w:val="-15"/>
          <w:sz w:val="30"/>
          <w:szCs w:val="30"/>
          <w:lang w:eastAsia="zh-CN"/>
        </w:rPr>
        <w:t>严格质量检测管理，将委托第三方检测机构对工程实施过程中原材料、半成品等进行抽检试验，对工程实体的质量进行现场检测。</w:t>
      </w:r>
    </w:p>
    <w:p>
      <w:pPr>
        <w:adjustRightInd w:val="0"/>
        <w:snapToGrid w:val="0"/>
        <w:spacing w:line="574" w:lineRule="exact"/>
        <w:ind w:firstLine="540" w:firstLineChars="200"/>
        <w:jc w:val="both"/>
        <w:rPr>
          <w:rFonts w:hint="default" w:ascii="宋体" w:hAnsi="宋体" w:eastAsia="宋体" w:cs="宋体"/>
          <w:spacing w:val="-15"/>
          <w:sz w:val="30"/>
          <w:szCs w:val="30"/>
          <w:highlight w:val="none"/>
          <w:lang w:val="en-US" w:eastAsia="zh-CN"/>
        </w:rPr>
      </w:pPr>
      <w:r>
        <w:rPr>
          <w:rFonts w:hint="eastAsia" w:ascii="宋体" w:hAnsi="宋体" w:eastAsia="宋体" w:cs="宋体"/>
          <w:spacing w:val="-15"/>
          <w:sz w:val="30"/>
          <w:szCs w:val="30"/>
          <w:highlight w:val="none"/>
          <w:lang w:eastAsia="zh-CN"/>
        </w:rPr>
        <w:t>（三）</w:t>
      </w:r>
      <w:r>
        <w:rPr>
          <w:rFonts w:hint="eastAsia" w:ascii="宋体" w:hAnsi="宋体" w:eastAsia="宋体" w:cs="宋体"/>
          <w:spacing w:val="-15"/>
          <w:sz w:val="30"/>
          <w:szCs w:val="30"/>
          <w:highlight w:val="none"/>
          <w:lang w:val="en-US" w:eastAsia="zh-CN"/>
        </w:rPr>
        <w:t>进度管理</w:t>
      </w:r>
    </w:p>
    <w:p>
      <w:pPr>
        <w:adjustRightInd w:val="0"/>
        <w:snapToGrid w:val="0"/>
        <w:spacing w:line="574" w:lineRule="exact"/>
        <w:ind w:firstLine="540" w:firstLineChars="200"/>
        <w:jc w:val="both"/>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1、</w:t>
      </w:r>
      <w:r>
        <w:rPr>
          <w:rFonts w:hint="eastAsia" w:ascii="宋体" w:hAnsi="宋体" w:eastAsia="宋体" w:cs="宋体"/>
          <w:spacing w:val="-15"/>
          <w:sz w:val="30"/>
          <w:szCs w:val="30"/>
          <w:lang w:eastAsia="zh-CN"/>
        </w:rPr>
        <w:t>严格按照现行建设工程管理程序编制报审程序、网络图指导，组织实施各环节的工作。运用关键线路控制原则，对影响项目开工建设及后续工作开展的工作、程序实施重点控制。审批过程中，保持与审批部门的联系，主动了解审批进度，可能的情况下予以协调，以促进审批进度，缩短审批时间。</w:t>
      </w:r>
      <w:r>
        <w:rPr>
          <w:rFonts w:hint="eastAsia" w:ascii="宋体" w:hAnsi="宋体" w:eastAsia="宋体" w:cs="宋体"/>
          <w:spacing w:val="-15"/>
          <w:sz w:val="30"/>
          <w:szCs w:val="30"/>
          <w:lang w:val="en-US" w:eastAsia="zh-CN"/>
        </w:rPr>
        <w:t xml:space="preserve"> </w:t>
      </w:r>
    </w:p>
    <w:p>
      <w:pPr>
        <w:adjustRightInd w:val="0"/>
        <w:snapToGrid w:val="0"/>
        <w:spacing w:line="574" w:lineRule="exact"/>
        <w:ind w:firstLine="540" w:firstLineChars="200"/>
        <w:jc w:val="both"/>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2、要求各参建单位严格按照节点控制进度，与进度计划对比，评估进度的完成情况，若有滞后计划的情况，向参建单位发函，要求其采取合理措施调整进度。</w:t>
      </w:r>
    </w:p>
    <w:p>
      <w:p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eastAsia="zh-CN"/>
        </w:rPr>
        <w:t>（四）</w:t>
      </w:r>
      <w:r>
        <w:rPr>
          <w:rFonts w:hint="eastAsia" w:ascii="宋体" w:hAnsi="宋体" w:eastAsia="宋体" w:cs="宋体"/>
          <w:spacing w:val="-15"/>
          <w:sz w:val="30"/>
          <w:szCs w:val="30"/>
          <w:lang w:val="en-US" w:eastAsia="zh-CN"/>
        </w:rPr>
        <w:t>安全管理</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 xml:space="preserve"> </w:t>
      </w:r>
      <w:r>
        <w:rPr>
          <w:rFonts w:hint="eastAsia" w:ascii="宋体" w:hAnsi="宋体" w:eastAsia="宋体" w:cs="宋体"/>
          <w:spacing w:val="-15"/>
          <w:sz w:val="30"/>
          <w:szCs w:val="30"/>
          <w:lang w:val="en-US" w:eastAsia="zh-CN"/>
        </w:rPr>
        <w:t>项目开工后，</w:t>
      </w:r>
      <w:r>
        <w:rPr>
          <w:rFonts w:hint="eastAsia" w:ascii="宋体" w:hAnsi="宋体" w:eastAsia="宋体" w:cs="宋体"/>
          <w:spacing w:val="-15"/>
          <w:sz w:val="30"/>
          <w:szCs w:val="30"/>
          <w:lang w:eastAsia="zh-CN"/>
        </w:rPr>
        <w:t>开展安全巡查和检查，并对发现的问题向承包人提出相关建议，及时督促相关单位整改，跟踪整改情况；检查关键工程的工艺性试验；对质量缺陷、质量事故进行检查并提交报告；按照行业主管部门、上级有关单位的要求开展质量安全专项活动。</w:t>
      </w:r>
    </w:p>
    <w:p>
      <w:p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五</w:t>
      </w: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 xml:space="preserve">档案管理 </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 xml:space="preserve">1、了解部门的工作业务开展情况，掌握部门文件材料的归档范围，收集部门的文件材料；整理文件时应遵循文件的形成规律和特点，保持文件之间的有机联系。  </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 xml:space="preserve">2、认真执行平时归档制度，对部门承办工作所产生的文件材料应及时收集，进行分类登记，归档，部门资料员应自行编制档案目录。  </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 xml:space="preserve">3、移交档案时，如有电子文档应同时移交相关文件，对于具有重要保存价值的电子文件，应备份内容相同的纸质文件同时归档。对于部门业务工作中仍需使用的文件和资料，应在归档前自行制作复印件，并在本部门内妥善保管。 </w:t>
      </w:r>
    </w:p>
    <w:p>
      <w:pPr>
        <w:adjustRightInd w:val="0"/>
        <w:snapToGrid w:val="0"/>
        <w:spacing w:line="574" w:lineRule="exact"/>
        <w:ind w:firstLine="602" w:firstLineChars="200"/>
        <w:jc w:val="both"/>
        <w:rPr>
          <w:rFonts w:ascii="宋体" w:hAnsi="宋体" w:eastAsia="宋体" w:cs="宋体"/>
          <w:sz w:val="30"/>
          <w:szCs w:val="30"/>
          <w:lang w:eastAsia="zh-CN"/>
        </w:rPr>
      </w:pPr>
      <w:r>
        <w:rPr>
          <w:rFonts w:hint="eastAsia" w:ascii="宋体" w:hAnsi="宋体" w:eastAsia="宋体" w:cs="宋体"/>
          <w:b/>
          <w:bCs/>
          <w:sz w:val="30"/>
          <w:szCs w:val="30"/>
          <w:lang w:eastAsia="zh-CN"/>
        </w:rPr>
        <w:t>四、存在问题</w:t>
      </w:r>
      <w:r>
        <w:rPr>
          <w:rFonts w:hint="eastAsia" w:ascii="宋体" w:hAnsi="宋体" w:eastAsia="宋体" w:cs="宋体"/>
          <w:sz w:val="30"/>
          <w:szCs w:val="30"/>
          <w:lang w:eastAsia="zh-CN"/>
        </w:rPr>
        <w:t>。</w:t>
      </w:r>
    </w:p>
    <w:p>
      <w:pPr>
        <w:spacing w:line="574" w:lineRule="exact"/>
        <w:ind w:firstLine="600" w:firstLineChars="200"/>
        <w:jc w:val="both"/>
        <w:rPr>
          <w:rFonts w:hint="eastAsia"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1、督促箱式物流专业施工单位合同履行工作。</w:t>
      </w:r>
    </w:p>
    <w:p>
      <w:pPr>
        <w:spacing w:line="574" w:lineRule="exact"/>
        <w:ind w:firstLine="600" w:firstLineChars="200"/>
        <w:jc w:val="both"/>
        <w:rPr>
          <w:rFonts w:hint="eastAsia"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2、加快供电外线施工与当地村委协调工作。</w:t>
      </w:r>
    </w:p>
    <w:p>
      <w:pPr>
        <w:spacing w:line="574" w:lineRule="exact"/>
        <w:ind w:firstLine="602" w:firstLineChars="200"/>
        <w:jc w:val="both"/>
        <w:rPr>
          <w:rFonts w:ascii="宋体" w:hAnsi="宋体" w:eastAsia="宋体" w:cs="宋体"/>
          <w:sz w:val="30"/>
          <w:szCs w:val="30"/>
          <w:lang w:eastAsia="zh-CN"/>
        </w:rPr>
      </w:pPr>
      <w:r>
        <w:rPr>
          <w:rFonts w:hint="eastAsia" w:ascii="宋体" w:hAnsi="宋体" w:eastAsia="宋体" w:cs="宋体"/>
          <w:b/>
          <w:bCs/>
          <w:sz w:val="30"/>
          <w:szCs w:val="30"/>
          <w:lang w:eastAsia="zh-CN"/>
        </w:rPr>
        <w:t>五、有关建议</w:t>
      </w:r>
    </w:p>
    <w:p>
      <w:pPr>
        <w:spacing w:line="574" w:lineRule="exact"/>
        <w:ind w:firstLine="600" w:firstLineChars="200"/>
        <w:jc w:val="both"/>
        <w:rPr>
          <w:rFonts w:hint="default" w:ascii="宋体" w:hAnsi="宋体" w:eastAsia="宋体" w:cs="宋体"/>
          <w:sz w:val="30"/>
          <w:szCs w:val="30"/>
          <w:lang w:val="en-US" w:eastAsia="zh-CN"/>
        </w:rPr>
      </w:pPr>
      <w:r>
        <w:rPr>
          <w:rFonts w:hint="eastAsia" w:ascii="宋体" w:hAnsi="宋体" w:eastAsia="宋体" w:cs="宋体"/>
          <w:sz w:val="30"/>
          <w:szCs w:val="30"/>
          <w:highlight w:val="none"/>
          <w:lang w:eastAsia="zh-CN"/>
        </w:rPr>
        <w:t>今后将不断推进工程进度，加快债券资金支出进度，确保</w:t>
      </w:r>
      <w:r>
        <w:rPr>
          <w:rFonts w:hint="eastAsia" w:ascii="宋体" w:hAnsi="宋体" w:eastAsia="宋体" w:cs="宋体"/>
          <w:sz w:val="30"/>
          <w:szCs w:val="30"/>
          <w:highlight w:val="none"/>
          <w:lang w:val="en-US" w:eastAsia="zh-CN"/>
        </w:rPr>
        <w:t>完成</w:t>
      </w:r>
      <w:r>
        <w:rPr>
          <w:rFonts w:hint="eastAsia" w:ascii="宋体" w:hAnsi="宋体" w:eastAsia="宋体" w:cs="宋体"/>
          <w:sz w:val="30"/>
          <w:szCs w:val="30"/>
          <w:highlight w:val="none"/>
          <w:lang w:eastAsia="zh-CN"/>
        </w:rPr>
        <w:t>计划投资任务。</w:t>
      </w:r>
      <w:r>
        <w:rPr>
          <w:rFonts w:hint="eastAsia" w:ascii="宋体" w:hAnsi="宋体" w:eastAsia="宋体" w:cs="宋体"/>
          <w:sz w:val="30"/>
          <w:szCs w:val="30"/>
          <w:highlight w:val="none"/>
          <w:lang w:val="en-US" w:eastAsia="zh-CN"/>
        </w:rPr>
        <w:t xml:space="preserve">                 </w:t>
      </w:r>
    </w:p>
    <w:p>
      <w:pPr>
        <w:numPr>
          <w:ilvl w:val="0"/>
          <w:numId w:val="7"/>
        </w:numPr>
        <w:spacing w:line="574" w:lineRule="exact"/>
        <w:ind w:firstLine="602" w:firstLineChars="200"/>
        <w:jc w:val="both"/>
        <w:rPr>
          <w:rFonts w:hint="eastAsia" w:ascii="宋体" w:hAnsi="宋体" w:eastAsia="宋体" w:cs="宋体"/>
          <w:b/>
          <w:bCs/>
          <w:sz w:val="30"/>
          <w:szCs w:val="30"/>
          <w:lang w:eastAsia="zh-CN"/>
        </w:rPr>
      </w:pPr>
      <w:r>
        <w:rPr>
          <w:rFonts w:hint="eastAsia" w:ascii="宋体" w:hAnsi="宋体" w:eastAsia="宋体" w:cs="宋体"/>
          <w:b/>
          <w:bCs/>
          <w:sz w:val="30"/>
          <w:szCs w:val="30"/>
          <w:lang w:eastAsia="zh-CN"/>
        </w:rPr>
        <w:t>附件</w:t>
      </w:r>
      <w:bookmarkStart w:id="0" w:name="苏财规2020-020附件-3"/>
      <w:bookmarkEnd w:id="0"/>
      <w:bookmarkStart w:id="1" w:name="附件3_项目支出绩效评价指标体系框架"/>
      <w:bookmarkEnd w:id="1"/>
      <w:bookmarkStart w:id="2" w:name="苏财规2020-020附件-4"/>
      <w:bookmarkEnd w:id="2"/>
      <w:bookmarkStart w:id="3" w:name="附件4_项目支出绩效评价工作方案提纲"/>
      <w:bookmarkEnd w:id="3"/>
    </w:p>
    <w:p>
      <w:pPr>
        <w:spacing w:line="574" w:lineRule="exact"/>
        <w:ind w:firstLine="600" w:firstLineChars="200"/>
        <w:jc w:val="both"/>
        <w:rPr>
          <w:rFonts w:hint="eastAsia" w:ascii="宋体" w:hAnsi="宋体" w:eastAsia="宋体" w:cs="宋体"/>
          <w:sz w:val="30"/>
          <w:szCs w:val="30"/>
          <w:lang w:eastAsia="zh-CN"/>
        </w:rPr>
      </w:pPr>
      <w:r>
        <w:rPr>
          <w:rFonts w:hint="eastAsia" w:ascii="宋体" w:hAnsi="宋体" w:eastAsia="宋体" w:cs="宋体"/>
          <w:sz w:val="30"/>
          <w:szCs w:val="30"/>
          <w:lang w:val="en-US" w:eastAsia="zh-CN"/>
        </w:rPr>
        <w:t>1、绩效自评价评分表</w:t>
      </w:r>
    </w:p>
    <w:p>
      <w:pPr>
        <w:numPr>
          <w:ilvl w:val="0"/>
          <w:numId w:val="0"/>
        </w:numPr>
        <w:spacing w:line="574" w:lineRule="exact"/>
        <w:jc w:val="both"/>
        <w:rPr>
          <w:rFonts w:hint="eastAsia" w:ascii="宋体" w:hAnsi="宋体" w:eastAsia="宋体" w:cs="宋体"/>
          <w:b/>
          <w:bCs/>
          <w:sz w:val="30"/>
          <w:szCs w:val="30"/>
          <w:lang w:eastAsia="zh-CN"/>
        </w:rPr>
      </w:pPr>
    </w:p>
    <w:sectPr>
      <w:pgSz w:w="11910" w:h="16840"/>
      <w:pgMar w:top="1984" w:right="1134" w:bottom="1984" w:left="1417" w:header="720" w:footer="720"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Microsoft YaHei UI"/>
    <w:panose1 w:val="00000000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1EE595"/>
    <w:multiLevelType w:val="singleLevel"/>
    <w:tmpl w:val="8B1EE595"/>
    <w:lvl w:ilvl="0" w:tentative="0">
      <w:start w:val="1"/>
      <w:numFmt w:val="decimal"/>
      <w:suff w:val="nothing"/>
      <w:lvlText w:val="%1、"/>
      <w:lvlJc w:val="left"/>
    </w:lvl>
  </w:abstractNum>
  <w:abstractNum w:abstractNumId="1">
    <w:nsid w:val="A7ECF659"/>
    <w:multiLevelType w:val="singleLevel"/>
    <w:tmpl w:val="A7ECF659"/>
    <w:lvl w:ilvl="0" w:tentative="0">
      <w:start w:val="6"/>
      <w:numFmt w:val="chineseCounting"/>
      <w:suff w:val="nothing"/>
      <w:lvlText w:val="%1、"/>
      <w:lvlJc w:val="left"/>
      <w:rPr>
        <w:rFonts w:hint="eastAsia"/>
      </w:rPr>
    </w:lvl>
  </w:abstractNum>
  <w:abstractNum w:abstractNumId="2">
    <w:nsid w:val="0648E829"/>
    <w:multiLevelType w:val="singleLevel"/>
    <w:tmpl w:val="0648E829"/>
    <w:lvl w:ilvl="0" w:tentative="0">
      <w:start w:val="1"/>
      <w:numFmt w:val="chineseCounting"/>
      <w:suff w:val="nothing"/>
      <w:lvlText w:val="（%1）"/>
      <w:lvlJc w:val="left"/>
      <w:rPr>
        <w:rFonts w:hint="eastAsia"/>
      </w:rPr>
    </w:lvl>
  </w:abstractNum>
  <w:abstractNum w:abstractNumId="3">
    <w:nsid w:val="16502C84"/>
    <w:multiLevelType w:val="singleLevel"/>
    <w:tmpl w:val="16502C84"/>
    <w:lvl w:ilvl="0" w:tentative="0">
      <w:start w:val="2"/>
      <w:numFmt w:val="decimal"/>
      <w:suff w:val="nothing"/>
      <w:lvlText w:val="（%1）"/>
      <w:lvlJc w:val="left"/>
    </w:lvl>
  </w:abstractNum>
  <w:abstractNum w:abstractNumId="4">
    <w:nsid w:val="5477D830"/>
    <w:multiLevelType w:val="singleLevel"/>
    <w:tmpl w:val="5477D830"/>
    <w:lvl w:ilvl="0" w:tentative="0">
      <w:start w:val="3"/>
      <w:numFmt w:val="chineseCounting"/>
      <w:suff w:val="nothing"/>
      <w:lvlText w:val="%1、"/>
      <w:lvlJc w:val="left"/>
      <w:rPr>
        <w:rFonts w:hint="eastAsia"/>
      </w:rPr>
    </w:lvl>
  </w:abstractNum>
  <w:abstractNum w:abstractNumId="5">
    <w:nsid w:val="5AFE4926"/>
    <w:multiLevelType w:val="singleLevel"/>
    <w:tmpl w:val="5AFE4926"/>
    <w:lvl w:ilvl="0" w:tentative="0">
      <w:start w:val="2"/>
      <w:numFmt w:val="chineseCounting"/>
      <w:suff w:val="nothing"/>
      <w:lvlText w:val="（%1）"/>
      <w:lvlJc w:val="left"/>
      <w:pPr>
        <w:ind w:left="-160"/>
      </w:pPr>
      <w:rPr>
        <w:rFonts w:hint="eastAsia"/>
      </w:rPr>
    </w:lvl>
  </w:abstractNum>
  <w:abstractNum w:abstractNumId="6">
    <w:nsid w:val="776AF386"/>
    <w:multiLevelType w:val="singleLevel"/>
    <w:tmpl w:val="776AF386"/>
    <w:lvl w:ilvl="0" w:tentative="0">
      <w:start w:val="2"/>
      <w:numFmt w:val="decimal"/>
      <w:suff w:val="nothing"/>
      <w:lvlText w:val="%1、"/>
      <w:lvlJc w:val="left"/>
    </w:lvl>
  </w:abstractNum>
  <w:num w:numId="1">
    <w:abstractNumId w:val="5"/>
  </w:num>
  <w:num w:numId="2">
    <w:abstractNumId w:val="6"/>
  </w:num>
  <w:num w:numId="3">
    <w:abstractNumId w:val="0"/>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wOGJlM2MwYTQ1ZjViODE0ZDU4ODIwMzJjNGNiY2IifQ=="/>
  </w:docVars>
  <w:rsids>
    <w:rsidRoot w:val="006A0286"/>
    <w:rsid w:val="0000186F"/>
    <w:rsid w:val="00027842"/>
    <w:rsid w:val="000F0010"/>
    <w:rsid w:val="001076FD"/>
    <w:rsid w:val="00112A3C"/>
    <w:rsid w:val="0012335B"/>
    <w:rsid w:val="00170EBA"/>
    <w:rsid w:val="001D43CE"/>
    <w:rsid w:val="001E1F08"/>
    <w:rsid w:val="001F5652"/>
    <w:rsid w:val="002034C4"/>
    <w:rsid w:val="00223670"/>
    <w:rsid w:val="002F39B9"/>
    <w:rsid w:val="00317F35"/>
    <w:rsid w:val="003D4D43"/>
    <w:rsid w:val="003E2E24"/>
    <w:rsid w:val="00412A90"/>
    <w:rsid w:val="00427AA3"/>
    <w:rsid w:val="00453872"/>
    <w:rsid w:val="00485FCA"/>
    <w:rsid w:val="00496584"/>
    <w:rsid w:val="004B1555"/>
    <w:rsid w:val="004E2611"/>
    <w:rsid w:val="004E3E98"/>
    <w:rsid w:val="004F2889"/>
    <w:rsid w:val="00541FD2"/>
    <w:rsid w:val="0055497B"/>
    <w:rsid w:val="0058181F"/>
    <w:rsid w:val="005C5968"/>
    <w:rsid w:val="005D094F"/>
    <w:rsid w:val="005D61F8"/>
    <w:rsid w:val="006032DC"/>
    <w:rsid w:val="006A0286"/>
    <w:rsid w:val="006F1257"/>
    <w:rsid w:val="006F2AB8"/>
    <w:rsid w:val="00705B52"/>
    <w:rsid w:val="00721281"/>
    <w:rsid w:val="0072674E"/>
    <w:rsid w:val="007416BA"/>
    <w:rsid w:val="0075652D"/>
    <w:rsid w:val="00784065"/>
    <w:rsid w:val="007A754E"/>
    <w:rsid w:val="00830C91"/>
    <w:rsid w:val="008C735A"/>
    <w:rsid w:val="008D7527"/>
    <w:rsid w:val="008F6FC9"/>
    <w:rsid w:val="00926E98"/>
    <w:rsid w:val="0095504B"/>
    <w:rsid w:val="009B2D68"/>
    <w:rsid w:val="00A14DE2"/>
    <w:rsid w:val="00A72387"/>
    <w:rsid w:val="00A736D9"/>
    <w:rsid w:val="00A863A2"/>
    <w:rsid w:val="00AA24DC"/>
    <w:rsid w:val="00AC69E3"/>
    <w:rsid w:val="00B14C89"/>
    <w:rsid w:val="00B33955"/>
    <w:rsid w:val="00BD1F01"/>
    <w:rsid w:val="00CB64D3"/>
    <w:rsid w:val="00D20830"/>
    <w:rsid w:val="00D20FCF"/>
    <w:rsid w:val="00D71C46"/>
    <w:rsid w:val="00D855DD"/>
    <w:rsid w:val="00D85F96"/>
    <w:rsid w:val="00DE067D"/>
    <w:rsid w:val="00DF053C"/>
    <w:rsid w:val="00DF24E7"/>
    <w:rsid w:val="00E1011A"/>
    <w:rsid w:val="00E70A55"/>
    <w:rsid w:val="00EB03FD"/>
    <w:rsid w:val="00EB47A6"/>
    <w:rsid w:val="00ED06B2"/>
    <w:rsid w:val="00EF65E3"/>
    <w:rsid w:val="00F161C4"/>
    <w:rsid w:val="00F35A70"/>
    <w:rsid w:val="00F4202D"/>
    <w:rsid w:val="00FB5E7E"/>
    <w:rsid w:val="00FC405A"/>
    <w:rsid w:val="00FC7877"/>
    <w:rsid w:val="010A4ADB"/>
    <w:rsid w:val="010B405F"/>
    <w:rsid w:val="01522F33"/>
    <w:rsid w:val="015522D5"/>
    <w:rsid w:val="0166457E"/>
    <w:rsid w:val="01B018C4"/>
    <w:rsid w:val="01F11CD4"/>
    <w:rsid w:val="0255721E"/>
    <w:rsid w:val="025D7FF3"/>
    <w:rsid w:val="027520D7"/>
    <w:rsid w:val="02D84C98"/>
    <w:rsid w:val="02DA66D9"/>
    <w:rsid w:val="031F3DF1"/>
    <w:rsid w:val="036363D4"/>
    <w:rsid w:val="0384671D"/>
    <w:rsid w:val="041004C7"/>
    <w:rsid w:val="04765A2E"/>
    <w:rsid w:val="04B9600D"/>
    <w:rsid w:val="04C603A8"/>
    <w:rsid w:val="04E11CA6"/>
    <w:rsid w:val="05031C1C"/>
    <w:rsid w:val="05261D79"/>
    <w:rsid w:val="052A6DD2"/>
    <w:rsid w:val="058A7C48"/>
    <w:rsid w:val="05F5658A"/>
    <w:rsid w:val="06513492"/>
    <w:rsid w:val="069977D8"/>
    <w:rsid w:val="06B57DFC"/>
    <w:rsid w:val="07025814"/>
    <w:rsid w:val="071D3E77"/>
    <w:rsid w:val="0730481F"/>
    <w:rsid w:val="0790350F"/>
    <w:rsid w:val="07AD40C1"/>
    <w:rsid w:val="07AF5AE1"/>
    <w:rsid w:val="07B014DD"/>
    <w:rsid w:val="07B84B3A"/>
    <w:rsid w:val="080B6E7B"/>
    <w:rsid w:val="087C7C39"/>
    <w:rsid w:val="08FE016C"/>
    <w:rsid w:val="09300B06"/>
    <w:rsid w:val="0936645D"/>
    <w:rsid w:val="09572537"/>
    <w:rsid w:val="097035F9"/>
    <w:rsid w:val="098D417D"/>
    <w:rsid w:val="09FC4E8C"/>
    <w:rsid w:val="0A044DA3"/>
    <w:rsid w:val="0A195594"/>
    <w:rsid w:val="0A3269CB"/>
    <w:rsid w:val="0AFE3B88"/>
    <w:rsid w:val="0B48482D"/>
    <w:rsid w:val="0B946198"/>
    <w:rsid w:val="0BD90DA4"/>
    <w:rsid w:val="0BFA1390"/>
    <w:rsid w:val="0C1038AA"/>
    <w:rsid w:val="0C1D32AF"/>
    <w:rsid w:val="0C33272B"/>
    <w:rsid w:val="0C523489"/>
    <w:rsid w:val="0CAC4FB4"/>
    <w:rsid w:val="0CB437FC"/>
    <w:rsid w:val="0CCC472A"/>
    <w:rsid w:val="0CF55C46"/>
    <w:rsid w:val="0D1D75F3"/>
    <w:rsid w:val="0D3C666E"/>
    <w:rsid w:val="0DA11A57"/>
    <w:rsid w:val="0DB77E1B"/>
    <w:rsid w:val="0DE30198"/>
    <w:rsid w:val="0DE70FE6"/>
    <w:rsid w:val="0E3746E5"/>
    <w:rsid w:val="0E642E01"/>
    <w:rsid w:val="0F123345"/>
    <w:rsid w:val="0F31382A"/>
    <w:rsid w:val="0F961D1A"/>
    <w:rsid w:val="0FB71F52"/>
    <w:rsid w:val="0FC86E19"/>
    <w:rsid w:val="105253FD"/>
    <w:rsid w:val="10E5414D"/>
    <w:rsid w:val="10E741A0"/>
    <w:rsid w:val="10F0290B"/>
    <w:rsid w:val="10F451BF"/>
    <w:rsid w:val="11052878"/>
    <w:rsid w:val="114F378A"/>
    <w:rsid w:val="1150463B"/>
    <w:rsid w:val="11D772FB"/>
    <w:rsid w:val="11E55436"/>
    <w:rsid w:val="125853BD"/>
    <w:rsid w:val="12B47E12"/>
    <w:rsid w:val="12CA75E8"/>
    <w:rsid w:val="12D6271E"/>
    <w:rsid w:val="12F336D9"/>
    <w:rsid w:val="13966BB5"/>
    <w:rsid w:val="13D604FC"/>
    <w:rsid w:val="141B23B3"/>
    <w:rsid w:val="15763D45"/>
    <w:rsid w:val="15785BB6"/>
    <w:rsid w:val="15AE1730"/>
    <w:rsid w:val="15AE235B"/>
    <w:rsid w:val="16467BBB"/>
    <w:rsid w:val="16690AD8"/>
    <w:rsid w:val="168B1A72"/>
    <w:rsid w:val="17AE3C6A"/>
    <w:rsid w:val="17CF014A"/>
    <w:rsid w:val="180B3F4D"/>
    <w:rsid w:val="181D78FA"/>
    <w:rsid w:val="18915FD7"/>
    <w:rsid w:val="18B84674"/>
    <w:rsid w:val="18C930EF"/>
    <w:rsid w:val="18F70EA2"/>
    <w:rsid w:val="190212E1"/>
    <w:rsid w:val="192D38C8"/>
    <w:rsid w:val="193351D1"/>
    <w:rsid w:val="19341A2E"/>
    <w:rsid w:val="196D699A"/>
    <w:rsid w:val="19831126"/>
    <w:rsid w:val="19A36EAD"/>
    <w:rsid w:val="1A183487"/>
    <w:rsid w:val="1A387A77"/>
    <w:rsid w:val="1A8B0593"/>
    <w:rsid w:val="1ABC6DFD"/>
    <w:rsid w:val="1AF128F9"/>
    <w:rsid w:val="1BE032D6"/>
    <w:rsid w:val="1BE80837"/>
    <w:rsid w:val="1C220CF4"/>
    <w:rsid w:val="1C544E56"/>
    <w:rsid w:val="1C5E2D41"/>
    <w:rsid w:val="1C8B0CB9"/>
    <w:rsid w:val="1CAA202B"/>
    <w:rsid w:val="1CB57518"/>
    <w:rsid w:val="1CEE0B2F"/>
    <w:rsid w:val="1D0E6F59"/>
    <w:rsid w:val="1E223E6B"/>
    <w:rsid w:val="1E3B2713"/>
    <w:rsid w:val="1E7A1200"/>
    <w:rsid w:val="1EF0001F"/>
    <w:rsid w:val="1EF6072C"/>
    <w:rsid w:val="1F0F26C5"/>
    <w:rsid w:val="1F141FC7"/>
    <w:rsid w:val="1F4153EC"/>
    <w:rsid w:val="20104D96"/>
    <w:rsid w:val="20A57420"/>
    <w:rsid w:val="20AB7D17"/>
    <w:rsid w:val="20E5699A"/>
    <w:rsid w:val="20EC75B1"/>
    <w:rsid w:val="20FA72D4"/>
    <w:rsid w:val="213E63B9"/>
    <w:rsid w:val="215F6C85"/>
    <w:rsid w:val="21823518"/>
    <w:rsid w:val="21A94054"/>
    <w:rsid w:val="21CA79F1"/>
    <w:rsid w:val="232E3EB1"/>
    <w:rsid w:val="23647F11"/>
    <w:rsid w:val="2381290B"/>
    <w:rsid w:val="23BA0077"/>
    <w:rsid w:val="24550140"/>
    <w:rsid w:val="248B40E3"/>
    <w:rsid w:val="24F3563C"/>
    <w:rsid w:val="251865DA"/>
    <w:rsid w:val="25B367A6"/>
    <w:rsid w:val="261C4DF6"/>
    <w:rsid w:val="26360CD5"/>
    <w:rsid w:val="26394025"/>
    <w:rsid w:val="264C1327"/>
    <w:rsid w:val="265E2CFF"/>
    <w:rsid w:val="26737D1F"/>
    <w:rsid w:val="26B741BD"/>
    <w:rsid w:val="270B77EA"/>
    <w:rsid w:val="27BF3329"/>
    <w:rsid w:val="27D112AE"/>
    <w:rsid w:val="28333130"/>
    <w:rsid w:val="288363F1"/>
    <w:rsid w:val="28DE70CF"/>
    <w:rsid w:val="28ED5497"/>
    <w:rsid w:val="290D492E"/>
    <w:rsid w:val="29416DCE"/>
    <w:rsid w:val="294A7316"/>
    <w:rsid w:val="294E2E79"/>
    <w:rsid w:val="294F7F37"/>
    <w:rsid w:val="2A083A69"/>
    <w:rsid w:val="2A171AE2"/>
    <w:rsid w:val="2A4C443E"/>
    <w:rsid w:val="2A8635DD"/>
    <w:rsid w:val="2A8704DB"/>
    <w:rsid w:val="2B007153"/>
    <w:rsid w:val="2B4E46A4"/>
    <w:rsid w:val="2B57010A"/>
    <w:rsid w:val="2BC179BE"/>
    <w:rsid w:val="2BDB28CC"/>
    <w:rsid w:val="2C0E033F"/>
    <w:rsid w:val="2C13380B"/>
    <w:rsid w:val="2C5B7427"/>
    <w:rsid w:val="2CAB0320"/>
    <w:rsid w:val="2CB0263E"/>
    <w:rsid w:val="2D13578C"/>
    <w:rsid w:val="2D3C675D"/>
    <w:rsid w:val="2D960E01"/>
    <w:rsid w:val="2DB92AC5"/>
    <w:rsid w:val="2DC512C1"/>
    <w:rsid w:val="2ECE4A89"/>
    <w:rsid w:val="2EEB3ECB"/>
    <w:rsid w:val="2F4B41D2"/>
    <w:rsid w:val="2F893638"/>
    <w:rsid w:val="2F9A5FCC"/>
    <w:rsid w:val="2FBC5F92"/>
    <w:rsid w:val="2FD55F51"/>
    <w:rsid w:val="2FDE0777"/>
    <w:rsid w:val="2FE104EC"/>
    <w:rsid w:val="30350655"/>
    <w:rsid w:val="306B50FC"/>
    <w:rsid w:val="30730E37"/>
    <w:rsid w:val="3083606D"/>
    <w:rsid w:val="309161AB"/>
    <w:rsid w:val="30A85ED8"/>
    <w:rsid w:val="30EB524A"/>
    <w:rsid w:val="30F11747"/>
    <w:rsid w:val="311D7B96"/>
    <w:rsid w:val="3122424F"/>
    <w:rsid w:val="3168581A"/>
    <w:rsid w:val="3223715A"/>
    <w:rsid w:val="32454D73"/>
    <w:rsid w:val="326B739A"/>
    <w:rsid w:val="32D3237F"/>
    <w:rsid w:val="331217FF"/>
    <w:rsid w:val="3338475E"/>
    <w:rsid w:val="33804D41"/>
    <w:rsid w:val="33EA5D0B"/>
    <w:rsid w:val="33F00D0E"/>
    <w:rsid w:val="341359E2"/>
    <w:rsid w:val="34214C71"/>
    <w:rsid w:val="348A2CD0"/>
    <w:rsid w:val="353D61D5"/>
    <w:rsid w:val="35762E24"/>
    <w:rsid w:val="35D51CC1"/>
    <w:rsid w:val="35FF414A"/>
    <w:rsid w:val="36587B4D"/>
    <w:rsid w:val="3698058A"/>
    <w:rsid w:val="369D19AA"/>
    <w:rsid w:val="371E7849"/>
    <w:rsid w:val="37206361"/>
    <w:rsid w:val="372D1FC1"/>
    <w:rsid w:val="37930D8D"/>
    <w:rsid w:val="37C73E07"/>
    <w:rsid w:val="37FD5054"/>
    <w:rsid w:val="38055F79"/>
    <w:rsid w:val="38BB18EB"/>
    <w:rsid w:val="38E452E6"/>
    <w:rsid w:val="39337EAE"/>
    <w:rsid w:val="394915ED"/>
    <w:rsid w:val="395635DF"/>
    <w:rsid w:val="39847CE6"/>
    <w:rsid w:val="39B01F36"/>
    <w:rsid w:val="3A0D48E4"/>
    <w:rsid w:val="3A1460C1"/>
    <w:rsid w:val="3A634545"/>
    <w:rsid w:val="3A667F7C"/>
    <w:rsid w:val="3A673119"/>
    <w:rsid w:val="3A7379ED"/>
    <w:rsid w:val="3A845141"/>
    <w:rsid w:val="3A865F28"/>
    <w:rsid w:val="3AAF547F"/>
    <w:rsid w:val="3AEF7F72"/>
    <w:rsid w:val="3B5902C2"/>
    <w:rsid w:val="3B6D56B7"/>
    <w:rsid w:val="3B892174"/>
    <w:rsid w:val="3B90654D"/>
    <w:rsid w:val="3BA256E9"/>
    <w:rsid w:val="3BA35630"/>
    <w:rsid w:val="3BA7084C"/>
    <w:rsid w:val="3C033CD5"/>
    <w:rsid w:val="3CB52AF5"/>
    <w:rsid w:val="3CC82828"/>
    <w:rsid w:val="3CCB1C92"/>
    <w:rsid w:val="3CDD2778"/>
    <w:rsid w:val="3D2518C5"/>
    <w:rsid w:val="3D6048FD"/>
    <w:rsid w:val="3D864BBD"/>
    <w:rsid w:val="3DBE736E"/>
    <w:rsid w:val="3DC12D0A"/>
    <w:rsid w:val="3DCF7004"/>
    <w:rsid w:val="3DDB1411"/>
    <w:rsid w:val="3E753011"/>
    <w:rsid w:val="3EA90890"/>
    <w:rsid w:val="3F20042C"/>
    <w:rsid w:val="3F453C1E"/>
    <w:rsid w:val="3F4C7741"/>
    <w:rsid w:val="3F4F69F8"/>
    <w:rsid w:val="3F600A8B"/>
    <w:rsid w:val="3FA07A8C"/>
    <w:rsid w:val="3FED748A"/>
    <w:rsid w:val="40210715"/>
    <w:rsid w:val="40415288"/>
    <w:rsid w:val="407C4056"/>
    <w:rsid w:val="408A5443"/>
    <w:rsid w:val="40BB1E2E"/>
    <w:rsid w:val="40E1256E"/>
    <w:rsid w:val="42376881"/>
    <w:rsid w:val="42750D5C"/>
    <w:rsid w:val="437C7482"/>
    <w:rsid w:val="43880F63"/>
    <w:rsid w:val="43CA157C"/>
    <w:rsid w:val="43E918E1"/>
    <w:rsid w:val="44155AE3"/>
    <w:rsid w:val="443D7F72"/>
    <w:rsid w:val="44764150"/>
    <w:rsid w:val="4492597B"/>
    <w:rsid w:val="45033356"/>
    <w:rsid w:val="45F54BE3"/>
    <w:rsid w:val="461E33FF"/>
    <w:rsid w:val="4623731B"/>
    <w:rsid w:val="46335ED4"/>
    <w:rsid w:val="469B1418"/>
    <w:rsid w:val="46D63D94"/>
    <w:rsid w:val="471F573B"/>
    <w:rsid w:val="479059EF"/>
    <w:rsid w:val="47EF3327"/>
    <w:rsid w:val="480F26E7"/>
    <w:rsid w:val="48223734"/>
    <w:rsid w:val="48594C7C"/>
    <w:rsid w:val="488C6E00"/>
    <w:rsid w:val="48C46341"/>
    <w:rsid w:val="48C837CF"/>
    <w:rsid w:val="49344605"/>
    <w:rsid w:val="49990D4A"/>
    <w:rsid w:val="4A2B3D49"/>
    <w:rsid w:val="4A4702AB"/>
    <w:rsid w:val="4ACA56B2"/>
    <w:rsid w:val="4AEF57BE"/>
    <w:rsid w:val="4B111C8B"/>
    <w:rsid w:val="4B600CF3"/>
    <w:rsid w:val="4B944784"/>
    <w:rsid w:val="4BF316E3"/>
    <w:rsid w:val="4C67205E"/>
    <w:rsid w:val="4C83676C"/>
    <w:rsid w:val="4CA56E4F"/>
    <w:rsid w:val="4CF97C65"/>
    <w:rsid w:val="4D2F49BF"/>
    <w:rsid w:val="4D3E71B4"/>
    <w:rsid w:val="4DD3727F"/>
    <w:rsid w:val="4DE10F49"/>
    <w:rsid w:val="4E2E5D79"/>
    <w:rsid w:val="4E6525CD"/>
    <w:rsid w:val="4E97524A"/>
    <w:rsid w:val="4F174207"/>
    <w:rsid w:val="4F2C6C47"/>
    <w:rsid w:val="4F4D5A86"/>
    <w:rsid w:val="4F55619D"/>
    <w:rsid w:val="4F626628"/>
    <w:rsid w:val="4FD33566"/>
    <w:rsid w:val="4FDF668F"/>
    <w:rsid w:val="4FE10CA2"/>
    <w:rsid w:val="50084A38"/>
    <w:rsid w:val="507A413A"/>
    <w:rsid w:val="507C074A"/>
    <w:rsid w:val="510838C4"/>
    <w:rsid w:val="511A45C5"/>
    <w:rsid w:val="513B5DE2"/>
    <w:rsid w:val="514C537E"/>
    <w:rsid w:val="51810ACE"/>
    <w:rsid w:val="51A41A56"/>
    <w:rsid w:val="51E46C82"/>
    <w:rsid w:val="52DB4C0C"/>
    <w:rsid w:val="52E669FA"/>
    <w:rsid w:val="52FE353A"/>
    <w:rsid w:val="53222FD4"/>
    <w:rsid w:val="53452B9D"/>
    <w:rsid w:val="54161C73"/>
    <w:rsid w:val="543E054C"/>
    <w:rsid w:val="543E66F3"/>
    <w:rsid w:val="554538AF"/>
    <w:rsid w:val="55805088"/>
    <w:rsid w:val="55B95D86"/>
    <w:rsid w:val="55D9206E"/>
    <w:rsid w:val="55EF5819"/>
    <w:rsid w:val="564E192B"/>
    <w:rsid w:val="566859AF"/>
    <w:rsid w:val="566B44F9"/>
    <w:rsid w:val="5697228A"/>
    <w:rsid w:val="56B70B57"/>
    <w:rsid w:val="56E535DA"/>
    <w:rsid w:val="56F853E0"/>
    <w:rsid w:val="57086048"/>
    <w:rsid w:val="572345A1"/>
    <w:rsid w:val="57E45BF4"/>
    <w:rsid w:val="58301B41"/>
    <w:rsid w:val="58675193"/>
    <w:rsid w:val="58E81ECC"/>
    <w:rsid w:val="592C33B9"/>
    <w:rsid w:val="59536686"/>
    <w:rsid w:val="59747B49"/>
    <w:rsid w:val="599734D0"/>
    <w:rsid w:val="59AD1935"/>
    <w:rsid w:val="5A601E9A"/>
    <w:rsid w:val="5AB1171C"/>
    <w:rsid w:val="5AC87D9B"/>
    <w:rsid w:val="5B115127"/>
    <w:rsid w:val="5B7019D4"/>
    <w:rsid w:val="5BE2533D"/>
    <w:rsid w:val="5BED30BF"/>
    <w:rsid w:val="5BF5560E"/>
    <w:rsid w:val="5C07081F"/>
    <w:rsid w:val="5C4E1BEB"/>
    <w:rsid w:val="5C7D20F2"/>
    <w:rsid w:val="5CAA564F"/>
    <w:rsid w:val="5CE15514"/>
    <w:rsid w:val="5CEF64F6"/>
    <w:rsid w:val="5D505750"/>
    <w:rsid w:val="5D76237F"/>
    <w:rsid w:val="5DA71487"/>
    <w:rsid w:val="5DAF6297"/>
    <w:rsid w:val="5DD042A4"/>
    <w:rsid w:val="5DEF2CAC"/>
    <w:rsid w:val="5E441F20"/>
    <w:rsid w:val="5E702A95"/>
    <w:rsid w:val="5E927EE6"/>
    <w:rsid w:val="5F6F3658"/>
    <w:rsid w:val="5F7C7776"/>
    <w:rsid w:val="60076B58"/>
    <w:rsid w:val="606635B7"/>
    <w:rsid w:val="606E1CFF"/>
    <w:rsid w:val="60A8014F"/>
    <w:rsid w:val="613C5419"/>
    <w:rsid w:val="6148266D"/>
    <w:rsid w:val="62324A96"/>
    <w:rsid w:val="628C5A67"/>
    <w:rsid w:val="629D3C8C"/>
    <w:rsid w:val="62E00045"/>
    <w:rsid w:val="632E6E5F"/>
    <w:rsid w:val="637847E3"/>
    <w:rsid w:val="63CC1360"/>
    <w:rsid w:val="64117A5B"/>
    <w:rsid w:val="64590086"/>
    <w:rsid w:val="646B7CF6"/>
    <w:rsid w:val="647B0128"/>
    <w:rsid w:val="64B34D12"/>
    <w:rsid w:val="653308D7"/>
    <w:rsid w:val="65CC62CA"/>
    <w:rsid w:val="65D652E1"/>
    <w:rsid w:val="6636339A"/>
    <w:rsid w:val="668A6466"/>
    <w:rsid w:val="66BF00FF"/>
    <w:rsid w:val="670C27B5"/>
    <w:rsid w:val="67360FA6"/>
    <w:rsid w:val="67927308"/>
    <w:rsid w:val="67C22BC3"/>
    <w:rsid w:val="67CA414B"/>
    <w:rsid w:val="68256943"/>
    <w:rsid w:val="68774F7F"/>
    <w:rsid w:val="688D19A9"/>
    <w:rsid w:val="68C63B8D"/>
    <w:rsid w:val="69242AFE"/>
    <w:rsid w:val="6A095690"/>
    <w:rsid w:val="6A543314"/>
    <w:rsid w:val="6A7C484E"/>
    <w:rsid w:val="6AFF1E9B"/>
    <w:rsid w:val="6B5A4EA4"/>
    <w:rsid w:val="6B7617D7"/>
    <w:rsid w:val="6B7C455F"/>
    <w:rsid w:val="6B951B52"/>
    <w:rsid w:val="6BAC3191"/>
    <w:rsid w:val="6BBE13B4"/>
    <w:rsid w:val="6BD46244"/>
    <w:rsid w:val="6C141B76"/>
    <w:rsid w:val="6C294FF9"/>
    <w:rsid w:val="6C681E3D"/>
    <w:rsid w:val="6CA034B2"/>
    <w:rsid w:val="6CBE13CE"/>
    <w:rsid w:val="6CDD63AD"/>
    <w:rsid w:val="6CDF3526"/>
    <w:rsid w:val="6CF9419C"/>
    <w:rsid w:val="6D386A1A"/>
    <w:rsid w:val="6D3F443D"/>
    <w:rsid w:val="6DAA462E"/>
    <w:rsid w:val="6DAB0280"/>
    <w:rsid w:val="6DE06F3E"/>
    <w:rsid w:val="6E0C07D1"/>
    <w:rsid w:val="6E0E0133"/>
    <w:rsid w:val="6E160D96"/>
    <w:rsid w:val="6E2711F5"/>
    <w:rsid w:val="6E3D1D31"/>
    <w:rsid w:val="6F0230C8"/>
    <w:rsid w:val="6F3430C2"/>
    <w:rsid w:val="6F7B75B8"/>
    <w:rsid w:val="6F847DBE"/>
    <w:rsid w:val="6FE57CB0"/>
    <w:rsid w:val="70876749"/>
    <w:rsid w:val="70B54896"/>
    <w:rsid w:val="70DF2C02"/>
    <w:rsid w:val="71031848"/>
    <w:rsid w:val="71A022C9"/>
    <w:rsid w:val="71BE59CD"/>
    <w:rsid w:val="71DC5E53"/>
    <w:rsid w:val="71F87130"/>
    <w:rsid w:val="71FB781B"/>
    <w:rsid w:val="722D5109"/>
    <w:rsid w:val="722F34F0"/>
    <w:rsid w:val="72A921D9"/>
    <w:rsid w:val="730A32BE"/>
    <w:rsid w:val="73345D5F"/>
    <w:rsid w:val="734B0FCB"/>
    <w:rsid w:val="737C3589"/>
    <w:rsid w:val="737D6D55"/>
    <w:rsid w:val="73896DD6"/>
    <w:rsid w:val="73C202A1"/>
    <w:rsid w:val="740A44FF"/>
    <w:rsid w:val="742525FA"/>
    <w:rsid w:val="742662D7"/>
    <w:rsid w:val="74365A66"/>
    <w:rsid w:val="746E722A"/>
    <w:rsid w:val="74B60BDD"/>
    <w:rsid w:val="74DC6AB5"/>
    <w:rsid w:val="74FC7BDE"/>
    <w:rsid w:val="756B594D"/>
    <w:rsid w:val="75BE5F9B"/>
    <w:rsid w:val="75F02D47"/>
    <w:rsid w:val="76195DD6"/>
    <w:rsid w:val="768E4BCA"/>
    <w:rsid w:val="770110A1"/>
    <w:rsid w:val="773418AC"/>
    <w:rsid w:val="780340CB"/>
    <w:rsid w:val="78056103"/>
    <w:rsid w:val="78177082"/>
    <w:rsid w:val="7839178E"/>
    <w:rsid w:val="787352C6"/>
    <w:rsid w:val="78874D6A"/>
    <w:rsid w:val="788C31A6"/>
    <w:rsid w:val="78BA0F21"/>
    <w:rsid w:val="790B11E8"/>
    <w:rsid w:val="794F4242"/>
    <w:rsid w:val="79A100AE"/>
    <w:rsid w:val="79D7229C"/>
    <w:rsid w:val="7A3031E0"/>
    <w:rsid w:val="7A3C0679"/>
    <w:rsid w:val="7A8821DD"/>
    <w:rsid w:val="7AD26045"/>
    <w:rsid w:val="7B7C4096"/>
    <w:rsid w:val="7CD02F2E"/>
    <w:rsid w:val="7CF10940"/>
    <w:rsid w:val="7D464386"/>
    <w:rsid w:val="7D627399"/>
    <w:rsid w:val="7D6C7745"/>
    <w:rsid w:val="7D9D2EC1"/>
    <w:rsid w:val="7DB5094D"/>
    <w:rsid w:val="7DBE6769"/>
    <w:rsid w:val="7DEE73DE"/>
    <w:rsid w:val="7E9006F1"/>
    <w:rsid w:val="7EB0506A"/>
    <w:rsid w:val="7F1873C3"/>
    <w:rsid w:val="7F1F5B28"/>
    <w:rsid w:val="7F4514DB"/>
    <w:rsid w:val="7F674D76"/>
    <w:rsid w:val="7F9008CF"/>
    <w:rsid w:val="7FA040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pPr>
    <w:rPr>
      <w:rFonts w:asciiTheme="minorHAnsi" w:hAnsiTheme="minorHAnsi" w:eastAsiaTheme="minorEastAsia" w:cstheme="minorBidi"/>
      <w:sz w:val="22"/>
      <w:szCs w:val="22"/>
      <w:lang w:val="en-US" w:eastAsia="en-US" w:bidi="ar-SA"/>
    </w:rPr>
  </w:style>
  <w:style w:type="paragraph" w:styleId="2">
    <w:name w:val="heading 1"/>
    <w:basedOn w:val="1"/>
    <w:next w:val="1"/>
    <w:autoRedefine/>
    <w:qFormat/>
    <w:uiPriority w:val="1"/>
    <w:pPr>
      <w:ind w:left="100"/>
      <w:outlineLvl w:val="0"/>
    </w:pPr>
    <w:rPr>
      <w:rFonts w:ascii="宋体" w:hAnsi="宋体" w:eastAsia="宋体"/>
      <w:sz w:val="36"/>
      <w:szCs w:val="36"/>
    </w:rPr>
  </w:style>
  <w:style w:type="paragraph" w:styleId="3">
    <w:name w:val="heading 2"/>
    <w:basedOn w:val="1"/>
    <w:next w:val="1"/>
    <w:autoRedefine/>
    <w:qFormat/>
    <w:uiPriority w:val="1"/>
    <w:pPr>
      <w:ind w:left="-21" w:firstLine="2592"/>
      <w:outlineLvl w:val="1"/>
    </w:pPr>
    <w:rPr>
      <w:rFonts w:ascii="宋体" w:hAnsi="宋体" w:eastAsia="宋体"/>
      <w:sz w:val="32"/>
      <w:szCs w:val="32"/>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20"/>
    <w:autoRedefine/>
    <w:semiHidden/>
    <w:unhideWhenUsed/>
    <w:qFormat/>
    <w:uiPriority w:val="99"/>
  </w:style>
  <w:style w:type="paragraph" w:styleId="5">
    <w:name w:val="Body Text"/>
    <w:basedOn w:val="1"/>
    <w:autoRedefine/>
    <w:qFormat/>
    <w:uiPriority w:val="1"/>
    <w:pPr>
      <w:spacing w:before="207"/>
      <w:ind w:left="120"/>
    </w:pPr>
    <w:rPr>
      <w:rFonts w:ascii="宋体" w:hAnsi="宋体" w:eastAsia="宋体"/>
      <w:sz w:val="30"/>
      <w:szCs w:val="30"/>
    </w:rPr>
  </w:style>
  <w:style w:type="paragraph" w:styleId="6">
    <w:name w:val="Balloon Text"/>
    <w:basedOn w:val="1"/>
    <w:link w:val="22"/>
    <w:autoRedefine/>
    <w:semiHidden/>
    <w:unhideWhenUsed/>
    <w:qFormat/>
    <w:uiPriority w:val="99"/>
    <w:rPr>
      <w:sz w:val="18"/>
      <w:szCs w:val="18"/>
    </w:rPr>
  </w:style>
  <w:style w:type="paragraph" w:styleId="7">
    <w:name w:val="footer"/>
    <w:basedOn w:val="1"/>
    <w:link w:val="19"/>
    <w:autoRedefine/>
    <w:unhideWhenUsed/>
    <w:qFormat/>
    <w:uiPriority w:val="99"/>
    <w:pPr>
      <w:tabs>
        <w:tab w:val="center" w:pos="4153"/>
        <w:tab w:val="right" w:pos="8306"/>
      </w:tabs>
      <w:snapToGrid w:val="0"/>
    </w:pPr>
    <w:rPr>
      <w:sz w:val="18"/>
      <w:szCs w:val="18"/>
    </w:rPr>
  </w:style>
  <w:style w:type="paragraph" w:styleId="8">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21"/>
    <w:autoRedefine/>
    <w:semiHidden/>
    <w:unhideWhenUsed/>
    <w:qFormat/>
    <w:uiPriority w:val="99"/>
    <w:rPr>
      <w:b/>
      <w:bCs/>
    </w:rPr>
  </w:style>
  <w:style w:type="table" w:styleId="11">
    <w:name w:val="Table Grid"/>
    <w:basedOn w:val="10"/>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autoRedefine/>
    <w:semiHidden/>
    <w:unhideWhenUsed/>
    <w:qFormat/>
    <w:uiPriority w:val="99"/>
    <w:rPr>
      <w:sz w:val="21"/>
      <w:szCs w:val="21"/>
    </w:rPr>
  </w:style>
  <w:style w:type="table" w:customStyle="1" w:styleId="14">
    <w:name w:val="Table Normal"/>
    <w:autoRedefine/>
    <w:semiHidden/>
    <w:unhideWhenUsed/>
    <w:qFormat/>
    <w:uiPriority w:val="2"/>
    <w:tblPr>
      <w:tblCellMar>
        <w:top w:w="0" w:type="dxa"/>
        <w:left w:w="0" w:type="dxa"/>
        <w:bottom w:w="0" w:type="dxa"/>
        <w:right w:w="0" w:type="dxa"/>
      </w:tblCellMar>
    </w:tblPr>
  </w:style>
  <w:style w:type="paragraph" w:styleId="15">
    <w:name w:val="List Paragraph"/>
    <w:basedOn w:val="1"/>
    <w:autoRedefine/>
    <w:qFormat/>
    <w:uiPriority w:val="1"/>
  </w:style>
  <w:style w:type="paragraph" w:customStyle="1" w:styleId="16">
    <w:name w:val="Table Paragraph"/>
    <w:basedOn w:val="1"/>
    <w:autoRedefine/>
    <w:qFormat/>
    <w:uiPriority w:val="1"/>
  </w:style>
  <w:style w:type="paragraph" w:customStyle="1" w:styleId="17">
    <w:name w:val="Default"/>
    <w:autoRedefine/>
    <w:qFormat/>
    <w:uiPriority w:val="0"/>
    <w:pPr>
      <w:widowControl w:val="0"/>
      <w:autoSpaceDE w:val="0"/>
      <w:autoSpaceDN w:val="0"/>
      <w:adjustRightInd w:val="0"/>
    </w:pPr>
    <w:rPr>
      <w:rFonts w:ascii="方正黑体_GBK" w:hAnsi="方正黑体_GBK" w:cs="方正黑体_GBK" w:eastAsiaTheme="minorEastAsia"/>
      <w:color w:val="000000"/>
      <w:sz w:val="24"/>
      <w:szCs w:val="24"/>
      <w:lang w:val="en-US" w:eastAsia="en-US" w:bidi="ar-SA"/>
    </w:rPr>
  </w:style>
  <w:style w:type="character" w:customStyle="1" w:styleId="18">
    <w:name w:val="页眉 字符"/>
    <w:basedOn w:val="12"/>
    <w:link w:val="8"/>
    <w:autoRedefine/>
    <w:qFormat/>
    <w:uiPriority w:val="99"/>
    <w:rPr>
      <w:sz w:val="18"/>
      <w:szCs w:val="18"/>
    </w:rPr>
  </w:style>
  <w:style w:type="character" w:customStyle="1" w:styleId="19">
    <w:name w:val="页脚 字符"/>
    <w:basedOn w:val="12"/>
    <w:link w:val="7"/>
    <w:autoRedefine/>
    <w:qFormat/>
    <w:uiPriority w:val="99"/>
    <w:rPr>
      <w:sz w:val="18"/>
      <w:szCs w:val="18"/>
    </w:rPr>
  </w:style>
  <w:style w:type="character" w:customStyle="1" w:styleId="20">
    <w:name w:val="批注文字 字符"/>
    <w:basedOn w:val="12"/>
    <w:link w:val="4"/>
    <w:autoRedefine/>
    <w:semiHidden/>
    <w:qFormat/>
    <w:uiPriority w:val="99"/>
    <w:rPr>
      <w:rFonts w:asciiTheme="minorHAnsi" w:hAnsiTheme="minorHAnsi" w:eastAsiaTheme="minorEastAsia" w:cstheme="minorBidi"/>
      <w:sz w:val="22"/>
      <w:szCs w:val="22"/>
      <w:lang w:eastAsia="en-US"/>
    </w:rPr>
  </w:style>
  <w:style w:type="character" w:customStyle="1" w:styleId="21">
    <w:name w:val="批注主题 字符"/>
    <w:basedOn w:val="20"/>
    <w:link w:val="9"/>
    <w:autoRedefine/>
    <w:semiHidden/>
    <w:qFormat/>
    <w:uiPriority w:val="99"/>
    <w:rPr>
      <w:rFonts w:asciiTheme="minorHAnsi" w:hAnsiTheme="minorHAnsi" w:eastAsiaTheme="minorEastAsia" w:cstheme="minorBidi"/>
      <w:b/>
      <w:bCs/>
      <w:sz w:val="22"/>
      <w:szCs w:val="22"/>
      <w:lang w:eastAsia="en-US"/>
    </w:rPr>
  </w:style>
  <w:style w:type="character" w:customStyle="1" w:styleId="22">
    <w:name w:val="批注框文本 字符"/>
    <w:basedOn w:val="12"/>
    <w:link w:val="6"/>
    <w:autoRedefine/>
    <w:semiHidden/>
    <w:qFormat/>
    <w:uiPriority w:val="99"/>
    <w:rPr>
      <w:rFonts w:asciiTheme="minorHAnsi" w:hAnsiTheme="minorHAnsi" w:eastAsiaTheme="minorEastAsia" w:cstheme="minorBidi"/>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11</Pages>
  <Words>4577</Words>
  <Characters>4745</Characters>
  <Lines>61</Lines>
  <Paragraphs>17</Paragraphs>
  <TotalTime>5</TotalTime>
  <ScaleCrop>false</ScaleCrop>
  <LinksUpToDate>false</LinksUpToDate>
  <CharactersWithSpaces>4786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2021-08-19T09:37:00Z</dcterms:created>
  <dc:creator>张肖军(拟稿)</dc:creator>
  <cp:lastModifiedBy>Amy</cp:lastModifiedBy>
  <cp:lastPrinted>2023-03-01T23:47:00Z</cp:lastPrinted>
  <dcterms:modified xsi:type="dcterms:W3CDTF">2024-04-11T06:15:41Z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2020-09-01T00:00:00Z</vt:filetime>
  </property>
  <property fmtid="{D5CDD505-2E9C-101B-9397-08002B2CF9AE}" pid="3" name="Creator">
    <vt:lpwstr>Adobe Acrobat Pro 11.0.7</vt:lpwstr>
  </property>
  <property fmtid="{D5CDD505-2E9C-101B-9397-08002B2CF9AE}" pid="4" name="LastSaved">
    <vt:filetime>2021-08-19T00:00:00Z</vt:filetime>
  </property>
  <property fmtid="{D5CDD505-2E9C-101B-9397-08002B2CF9AE}" pid="5" name="KSOProductBuildVer">
    <vt:lpwstr>2052-12.1.0.16417</vt:lpwstr>
  </property>
  <property fmtid="{D5CDD505-2E9C-101B-9397-08002B2CF9AE}" pid="6" name="ICV">
    <vt:lpwstr>6110B7415DC740C58185CD86345CBEB1</vt:lpwstr>
  </property>
  <property fmtid="{D5CDD505-2E9C-101B-9397-08002B2CF9AE}" pid="7" name="commondata">
    <vt:lpwstr>eyJoZGlkIjoiMTIwOGJlM2MwYTQ1ZjViODE0ZDU4ODIwMzJjNGNiY2IifQ==</vt:lpwstr>
  </property>
</Properties>
</file>