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line="574" w:lineRule="exact"/>
        <w:ind w:left="120"/>
        <w:rPr>
          <w:rFonts w:ascii="宋体" w:hAnsi="宋体" w:eastAsia="宋体" w:cs="宋体"/>
          <w:sz w:val="32"/>
          <w:szCs w:val="32"/>
          <w:lang w:eastAsia="zh-CN"/>
        </w:rPr>
      </w:pPr>
      <w:r>
        <w:rPr>
          <w:rFonts w:hint="eastAsia" w:ascii="宋体" w:hAnsi="宋体" w:eastAsia="宋体" w:cs="宋体"/>
          <w:sz w:val="32"/>
          <w:szCs w:val="32"/>
          <w:lang w:eastAsia="zh-CN"/>
        </w:rPr>
        <w:t>附件7</w:t>
      </w:r>
    </w:p>
    <w:p>
      <w:pPr>
        <w:spacing w:before="2" w:line="574" w:lineRule="exact"/>
        <w:rPr>
          <w:rFonts w:ascii="宋体" w:hAnsi="宋体" w:eastAsia="宋体" w:cs="宋体"/>
          <w:sz w:val="27"/>
          <w:szCs w:val="27"/>
          <w:lang w:eastAsia="zh-CN"/>
        </w:rPr>
      </w:pPr>
    </w:p>
    <w:p>
      <w:pPr>
        <w:spacing w:line="574" w:lineRule="exact"/>
        <w:jc w:val="center"/>
        <w:rPr>
          <w:rFonts w:ascii="宋体" w:hAnsi="宋体" w:eastAsia="宋体" w:cs="宋体"/>
          <w:sz w:val="44"/>
          <w:szCs w:val="44"/>
          <w:lang w:eastAsia="zh-CN"/>
        </w:rPr>
      </w:pPr>
      <w:r>
        <w:rPr>
          <w:rFonts w:hint="eastAsia" w:ascii="宋体" w:hAnsi="宋体" w:eastAsia="宋体" w:cs="宋体"/>
          <w:sz w:val="44"/>
          <w:szCs w:val="44"/>
          <w:lang w:eastAsia="zh-CN"/>
        </w:rPr>
        <w:t>江苏省政府专项债券项目绩效自评价报告</w:t>
      </w:r>
    </w:p>
    <w:p>
      <w:pPr>
        <w:spacing w:line="574" w:lineRule="exact"/>
        <w:jc w:val="center"/>
        <w:rPr>
          <w:rFonts w:ascii="宋体" w:hAnsi="宋体" w:eastAsia="宋体" w:cs="宋体"/>
          <w:sz w:val="30"/>
          <w:szCs w:val="30"/>
          <w:lang w:eastAsia="zh-CN"/>
        </w:rPr>
      </w:pP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一、项目情况</w:t>
      </w:r>
    </w:p>
    <w:p>
      <w:pPr>
        <w:spacing w:line="574" w:lineRule="exact"/>
        <w:ind w:firstLine="584" w:firstLineChars="200"/>
        <w:jc w:val="both"/>
        <w:rPr>
          <w:rFonts w:ascii="宋体" w:hAnsi="宋体" w:eastAsia="宋体" w:cs="宋体"/>
          <w:spacing w:val="-4"/>
          <w:sz w:val="30"/>
          <w:szCs w:val="30"/>
          <w:lang w:eastAsia="zh-CN"/>
        </w:rPr>
      </w:pPr>
      <w:r>
        <w:rPr>
          <w:rFonts w:hint="eastAsia" w:ascii="宋体" w:hAnsi="宋体" w:eastAsia="宋体" w:cs="宋体"/>
          <w:spacing w:val="-4"/>
          <w:sz w:val="30"/>
          <w:szCs w:val="30"/>
          <w:lang w:eastAsia="zh-CN"/>
        </w:rPr>
        <w:t>（一）项目概况</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为了提升</w:t>
      </w:r>
      <w:r>
        <w:rPr>
          <w:rFonts w:hint="eastAsia" w:ascii="宋体" w:hAnsi="宋体" w:eastAsia="宋体" w:cs="宋体"/>
          <w:sz w:val="30"/>
          <w:szCs w:val="30"/>
          <w:highlight w:val="none"/>
          <w:lang w:val="en-US" w:eastAsia="zh-CN"/>
        </w:rPr>
        <w:t>溧阳</w:t>
      </w:r>
      <w:r>
        <w:rPr>
          <w:rFonts w:hint="eastAsia" w:ascii="宋体" w:hAnsi="宋体" w:eastAsia="宋体" w:cs="宋体"/>
          <w:sz w:val="30"/>
          <w:szCs w:val="30"/>
          <w:highlight w:val="none"/>
          <w:lang w:eastAsia="zh-CN"/>
        </w:rPr>
        <w:t>市航空工业领域技术研究水平，推动区域经济转型升级，实施南京航空航天大学天目湖校区三期</w:t>
      </w:r>
      <w:r>
        <w:rPr>
          <w:rFonts w:hint="eastAsia" w:ascii="宋体" w:hAnsi="宋体" w:eastAsia="宋体" w:cs="宋体"/>
          <w:sz w:val="30"/>
          <w:szCs w:val="30"/>
          <w:highlight w:val="none"/>
          <w:lang w:val="en-US" w:eastAsia="zh-CN"/>
        </w:rPr>
        <w:t>项目</w:t>
      </w:r>
      <w:r>
        <w:rPr>
          <w:rFonts w:hint="eastAsia" w:ascii="宋体" w:hAnsi="宋体" w:eastAsia="宋体" w:cs="宋体"/>
          <w:sz w:val="30"/>
          <w:szCs w:val="30"/>
          <w:highlight w:val="none"/>
          <w:lang w:eastAsia="zh-CN"/>
        </w:rPr>
        <w:t>。项目建设单位为溧阳市栗里文旅投资发展有限公司。</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根据溧阳市发展和改革委员会《关于南京航空航天大学天目湖校区三期项目可行性研究报告的批复》（溧发改〔</w:t>
      </w:r>
      <w:r>
        <w:rPr>
          <w:rFonts w:hint="eastAsia" w:ascii="宋体" w:hAnsi="宋体" w:eastAsia="宋体" w:cs="宋体"/>
          <w:sz w:val="30"/>
          <w:szCs w:val="30"/>
          <w:highlight w:val="none"/>
          <w:lang w:val="en-US" w:eastAsia="zh-CN"/>
        </w:rPr>
        <w:t>2022</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302</w:t>
      </w:r>
      <w:r>
        <w:rPr>
          <w:rFonts w:hint="eastAsia" w:ascii="宋体" w:hAnsi="宋体" w:eastAsia="宋体" w:cs="宋体"/>
          <w:sz w:val="30"/>
          <w:szCs w:val="30"/>
          <w:highlight w:val="none"/>
          <w:lang w:eastAsia="zh-CN"/>
        </w:rPr>
        <w:t>号文），本项目建设地址位于溧阳市古县街道。项目用地面积约</w:t>
      </w:r>
      <w:r>
        <w:rPr>
          <w:rFonts w:hint="eastAsia" w:ascii="宋体" w:hAnsi="宋体" w:eastAsia="宋体" w:cs="宋体"/>
          <w:sz w:val="30"/>
          <w:szCs w:val="30"/>
          <w:highlight w:val="none"/>
          <w:lang w:val="en-US" w:eastAsia="zh-CN"/>
        </w:rPr>
        <w:t>1477</w:t>
      </w:r>
      <w:r>
        <w:rPr>
          <w:rFonts w:hint="eastAsia" w:ascii="宋体" w:hAnsi="宋体" w:eastAsia="宋体" w:cs="宋体"/>
          <w:sz w:val="30"/>
          <w:szCs w:val="30"/>
          <w:highlight w:val="none"/>
          <w:lang w:eastAsia="zh-CN"/>
        </w:rPr>
        <w:t>亩，建筑面积约</w:t>
      </w:r>
      <w:r>
        <w:rPr>
          <w:rFonts w:hint="eastAsia" w:ascii="宋体" w:hAnsi="宋体" w:eastAsia="宋体" w:cs="宋体"/>
          <w:sz w:val="30"/>
          <w:szCs w:val="30"/>
          <w:highlight w:val="none"/>
          <w:lang w:val="en-US" w:eastAsia="zh-CN"/>
        </w:rPr>
        <w:t>73.8</w:t>
      </w:r>
      <w:r>
        <w:rPr>
          <w:rFonts w:hint="eastAsia" w:ascii="宋体" w:hAnsi="宋体" w:eastAsia="宋体" w:cs="宋体"/>
          <w:sz w:val="30"/>
          <w:szCs w:val="30"/>
          <w:highlight w:val="none"/>
          <w:lang w:eastAsia="zh-CN"/>
        </w:rPr>
        <w:t>万平方米。主要建设内容包括实验楼、学院楼、科技成果转化中心、航空航天博物馆、校史馆、数据中心及相关配套设施等。</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本项目估算总投资</w:t>
      </w:r>
      <w:r>
        <w:rPr>
          <w:rFonts w:hint="eastAsia" w:ascii="宋体" w:hAnsi="宋体" w:eastAsia="宋体" w:cs="宋体"/>
          <w:sz w:val="30"/>
          <w:szCs w:val="30"/>
          <w:highlight w:val="none"/>
          <w:lang w:val="en-US" w:eastAsia="zh-CN"/>
        </w:rPr>
        <w:t>346000</w:t>
      </w:r>
      <w:r>
        <w:rPr>
          <w:rFonts w:hint="eastAsia" w:ascii="宋体" w:hAnsi="宋体" w:eastAsia="宋体" w:cs="宋体"/>
          <w:sz w:val="30"/>
          <w:szCs w:val="30"/>
          <w:highlight w:val="none"/>
          <w:lang w:eastAsia="zh-CN"/>
        </w:rPr>
        <w:t>万元，建设单位自筹资金</w:t>
      </w:r>
      <w:r>
        <w:rPr>
          <w:rFonts w:hint="eastAsia" w:ascii="宋体" w:hAnsi="宋体" w:eastAsia="宋体" w:cs="宋体"/>
          <w:sz w:val="30"/>
          <w:szCs w:val="30"/>
          <w:highlight w:val="none"/>
          <w:lang w:val="en-US" w:eastAsia="zh-CN"/>
        </w:rPr>
        <w:t>69200</w:t>
      </w:r>
      <w:r>
        <w:rPr>
          <w:rFonts w:hint="eastAsia" w:ascii="宋体" w:hAnsi="宋体" w:eastAsia="宋体" w:cs="宋体"/>
          <w:sz w:val="30"/>
          <w:szCs w:val="30"/>
          <w:highlight w:val="none"/>
          <w:lang w:eastAsia="zh-CN"/>
        </w:rPr>
        <w:t>万元，申请地方政府专项债券资金</w:t>
      </w:r>
      <w:r>
        <w:rPr>
          <w:rFonts w:hint="eastAsia" w:ascii="宋体" w:hAnsi="宋体" w:eastAsia="宋体" w:cs="宋体"/>
          <w:sz w:val="30"/>
          <w:szCs w:val="30"/>
          <w:highlight w:val="none"/>
          <w:lang w:val="en-US" w:eastAsia="zh-CN"/>
        </w:rPr>
        <w:t>276800</w:t>
      </w:r>
      <w:r>
        <w:rPr>
          <w:rFonts w:hint="eastAsia" w:ascii="宋体" w:hAnsi="宋体" w:eastAsia="宋体" w:cs="宋体"/>
          <w:sz w:val="30"/>
          <w:szCs w:val="30"/>
          <w:highlight w:val="none"/>
          <w:lang w:eastAsia="zh-CN"/>
        </w:rPr>
        <w:t>万元，2023年发行债券</w:t>
      </w:r>
      <w:r>
        <w:rPr>
          <w:rFonts w:hint="eastAsia" w:ascii="宋体" w:hAnsi="宋体" w:eastAsia="宋体" w:cs="宋体"/>
          <w:sz w:val="30"/>
          <w:szCs w:val="30"/>
          <w:highlight w:val="none"/>
          <w:lang w:val="en-US" w:eastAsia="zh-CN"/>
        </w:rPr>
        <w:t>15000</w:t>
      </w:r>
      <w:r>
        <w:rPr>
          <w:rFonts w:hint="eastAsia" w:ascii="宋体" w:hAnsi="宋体" w:eastAsia="宋体" w:cs="宋体"/>
          <w:sz w:val="30"/>
          <w:szCs w:val="30"/>
          <w:highlight w:val="none"/>
          <w:lang w:eastAsia="zh-CN"/>
        </w:rPr>
        <w:t>万元。</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绩效目标</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1、项目绩效总体目标</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正确处理资源保护与开发的关系，加强生态环境保护和建设，坚持走可持续发展道路；并与城市建设、道路交通、环境保护等专项规划相衔接。</w:t>
      </w:r>
    </w:p>
    <w:p>
      <w:pPr>
        <w:numPr>
          <w:ilvl w:val="0"/>
          <w:numId w:val="2"/>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项目绩效阶段性目标</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目标1：完成设计方案。</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目标2：完成施工招标。</w:t>
      </w:r>
    </w:p>
    <w:p>
      <w:pPr>
        <w:numPr>
          <w:ilvl w:val="0"/>
          <w:numId w:val="0"/>
        </w:numPr>
        <w:spacing w:line="574" w:lineRule="exact"/>
        <w:ind w:left="598" w:leftChars="272" w:firstLine="0" w:firstLineChars="0"/>
        <w:jc w:val="both"/>
        <w:rPr>
          <w:rFonts w:hint="default" w:ascii="宋体" w:hAnsi="宋体" w:eastAsia="宋体" w:cs="宋体"/>
          <w:sz w:val="30"/>
          <w:szCs w:val="30"/>
          <w:lang w:val="en-US" w:eastAsia="zh-CN"/>
        </w:rPr>
      </w:pPr>
      <w:r>
        <w:rPr>
          <w:rFonts w:hint="eastAsia" w:ascii="宋体" w:hAnsi="宋体" w:eastAsia="宋体" w:cs="宋体"/>
          <w:sz w:val="30"/>
          <w:szCs w:val="30"/>
          <w:lang w:eastAsia="zh-CN"/>
        </w:rPr>
        <w:t>目标</w:t>
      </w:r>
      <w:r>
        <w:rPr>
          <w:rFonts w:hint="eastAsia" w:ascii="宋体" w:hAnsi="宋体" w:eastAsia="宋体" w:cs="宋体"/>
          <w:sz w:val="30"/>
          <w:szCs w:val="30"/>
          <w:lang w:val="en-US" w:eastAsia="zh-CN"/>
        </w:rPr>
        <w:t>3：完成高压线迁改</w:t>
      </w: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二、评价情况</w:t>
      </w:r>
      <w:bookmarkStart w:id="4" w:name="_GoBack"/>
      <w:bookmarkEnd w:id="4"/>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（一）项目特点分析。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1、本项目勘察、设计、施工、监理以及重要设备、材料采购的招标方式需按照《中华人民共和国招标投标法》和《必须招标的工程项目规定》（国家发展改革委第 16 号令）的相关规定执行。项目建设资金按照规定用途使用，与中标后签订的合同相符。</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2、本项目需</w:t>
      </w:r>
      <w:r>
        <w:rPr>
          <w:rFonts w:ascii="宋体" w:hAnsi="宋体" w:eastAsia="宋体" w:cs="宋体"/>
          <w:sz w:val="30"/>
          <w:szCs w:val="30"/>
          <w:lang w:eastAsia="zh-CN"/>
        </w:rPr>
        <w:t>通过在线平台如实报送政府投资项目前期、开工建设、建设进度、竣工等基本信息。加强项目档案管理，将项目审批和实施过程中的有关文件、资料存档备查。</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3、本项目需按照批复的建设规模、建设内容等进行建设。如果已批准建设规模、建设内容需要作较大调整的，按规定办理变更手续。</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4、项目将严格遵循“估算控制概算、概算控制预算、预算控制决算”的原则。投资概算原则上不得超过经批准的可行性研究报告提出的投资估算的10%。</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号文)，并结合上述项目特点，本次绩效评价主要反映项目过程、产出、</w:t>
      </w:r>
      <w:r>
        <w:rPr>
          <w:rFonts w:hint="eastAsia" w:ascii="宋体" w:hAnsi="宋体" w:eastAsia="宋体" w:cs="宋体"/>
          <w:sz w:val="30"/>
          <w:szCs w:val="30"/>
          <w:lang w:val="en-US" w:eastAsia="zh-CN"/>
        </w:rPr>
        <w:t>效益</w:t>
      </w:r>
      <w:r>
        <w:rPr>
          <w:rFonts w:hint="eastAsia" w:ascii="宋体" w:hAnsi="宋体" w:eastAsia="宋体" w:cs="宋体"/>
          <w:sz w:val="30"/>
          <w:szCs w:val="30"/>
          <w:lang w:eastAsia="zh-CN"/>
        </w:rPr>
        <w:t>和满意度情况，包括以下内容：</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过程</w:t>
      </w:r>
      <w:r>
        <w:rPr>
          <w:rFonts w:ascii="宋体" w:hAnsi="宋体" w:eastAsia="宋体" w:cs="宋体"/>
          <w:sz w:val="30"/>
          <w:szCs w:val="30"/>
          <w:lang w:eastAsia="zh-CN"/>
        </w:rPr>
        <w:t>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项目符合专项债券支持领域和方向情况</w:t>
      </w:r>
      <w:r>
        <w:rPr>
          <w:rFonts w:hint="eastAsia" w:ascii="宋体" w:hAnsi="宋体" w:eastAsia="宋体" w:cs="宋体"/>
          <w:sz w:val="30"/>
          <w:szCs w:val="30"/>
          <w:lang w:eastAsia="zh-CN"/>
        </w:rPr>
        <w:t>；</w:t>
      </w:r>
      <w:r>
        <w:rPr>
          <w:rFonts w:ascii="宋体" w:hAnsi="宋体" w:eastAsia="宋体" w:cs="宋体"/>
          <w:sz w:val="30"/>
          <w:szCs w:val="30"/>
          <w:lang w:eastAsia="zh-CN"/>
        </w:rPr>
        <w:t>项目绩效目标设定情况</w:t>
      </w:r>
      <w:r>
        <w:rPr>
          <w:rFonts w:hint="eastAsia" w:ascii="宋体" w:hAnsi="宋体" w:eastAsia="宋体" w:cs="宋体"/>
          <w:sz w:val="30"/>
          <w:szCs w:val="30"/>
          <w:lang w:eastAsia="zh-CN"/>
        </w:rPr>
        <w:t>；</w:t>
      </w:r>
      <w:r>
        <w:rPr>
          <w:rFonts w:ascii="宋体" w:hAnsi="宋体" w:eastAsia="宋体" w:cs="宋体"/>
          <w:sz w:val="30"/>
          <w:szCs w:val="30"/>
          <w:lang w:eastAsia="zh-CN"/>
        </w:rPr>
        <w:t>项目申请专项债券额度与实际需要匹配情况等。</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产出</w:t>
      </w:r>
      <w:r>
        <w:rPr>
          <w:rFonts w:ascii="宋体" w:hAnsi="宋体" w:eastAsia="宋体" w:cs="宋体"/>
          <w:sz w:val="30"/>
          <w:szCs w:val="30"/>
          <w:lang w:eastAsia="zh-CN"/>
        </w:rPr>
        <w:t>方面</w:t>
      </w:r>
    </w:p>
    <w:p>
      <w:pPr>
        <w:spacing w:line="574" w:lineRule="exact"/>
        <w:ind w:firstLine="600" w:firstLineChars="200"/>
        <w:jc w:val="both"/>
        <w:rPr>
          <w:rFonts w:hint="eastAsia" w:ascii="宋体" w:hAnsi="宋体" w:eastAsia="宋体" w:cs="宋体"/>
          <w:sz w:val="30"/>
          <w:szCs w:val="30"/>
          <w:lang w:eastAsia="zh-CN"/>
        </w:rPr>
      </w:pPr>
      <w:r>
        <w:rPr>
          <w:rFonts w:ascii="宋体" w:hAnsi="宋体" w:eastAsia="宋体" w:cs="宋体"/>
          <w:sz w:val="30"/>
          <w:szCs w:val="30"/>
          <w:lang w:eastAsia="zh-CN"/>
        </w:rPr>
        <w:t>债券资金按规定用途使用情况</w:t>
      </w:r>
      <w:r>
        <w:rPr>
          <w:rFonts w:hint="eastAsia" w:ascii="宋体" w:hAnsi="宋体" w:eastAsia="宋体" w:cs="宋体"/>
          <w:sz w:val="30"/>
          <w:szCs w:val="30"/>
          <w:lang w:eastAsia="zh-CN"/>
        </w:rPr>
        <w:t>；</w:t>
      </w:r>
      <w:r>
        <w:rPr>
          <w:rFonts w:ascii="宋体" w:hAnsi="宋体" w:eastAsia="宋体" w:cs="宋体"/>
          <w:sz w:val="30"/>
          <w:szCs w:val="30"/>
          <w:lang w:eastAsia="zh-CN"/>
        </w:rPr>
        <w:t>资金拨付和支出进度与项目建设进度匹配情况</w:t>
      </w:r>
      <w:r>
        <w:rPr>
          <w:rFonts w:hint="eastAsia" w:ascii="宋体" w:hAnsi="宋体" w:eastAsia="宋体" w:cs="宋体"/>
          <w:sz w:val="30"/>
          <w:szCs w:val="30"/>
          <w:lang w:eastAsia="zh-CN"/>
        </w:rPr>
        <w:t>；</w:t>
      </w:r>
      <w:r>
        <w:rPr>
          <w:rFonts w:ascii="宋体" w:hAnsi="宋体" w:eastAsia="宋体" w:cs="宋体"/>
          <w:sz w:val="30"/>
          <w:szCs w:val="30"/>
          <w:lang w:eastAsia="zh-CN"/>
        </w:rPr>
        <w:t>专项债券项目信息公开情况</w:t>
      </w:r>
      <w:r>
        <w:rPr>
          <w:rFonts w:hint="eastAsia" w:ascii="宋体" w:hAnsi="宋体" w:eastAsia="宋体" w:cs="宋体"/>
          <w:sz w:val="30"/>
          <w:szCs w:val="30"/>
          <w:lang w:eastAsia="zh-CN"/>
        </w:rPr>
        <w:t>；</w:t>
      </w:r>
      <w:r>
        <w:rPr>
          <w:rFonts w:ascii="宋体" w:hAnsi="宋体" w:eastAsia="宋体" w:cs="宋体"/>
          <w:sz w:val="30"/>
          <w:szCs w:val="30"/>
          <w:lang w:eastAsia="zh-CN"/>
        </w:rPr>
        <w:t>外部监督发现问题整改情况</w:t>
      </w:r>
      <w:r>
        <w:rPr>
          <w:rFonts w:hint="eastAsia" w:ascii="宋体" w:hAnsi="宋体" w:eastAsia="宋体" w:cs="宋体"/>
          <w:sz w:val="30"/>
          <w:szCs w:val="30"/>
          <w:lang w:eastAsia="zh-CN"/>
        </w:rPr>
        <w:t>；</w:t>
      </w:r>
      <w:r>
        <w:rPr>
          <w:rFonts w:ascii="宋体" w:hAnsi="宋体" w:eastAsia="宋体" w:cs="宋体"/>
          <w:sz w:val="30"/>
          <w:szCs w:val="30"/>
          <w:lang w:eastAsia="zh-CN"/>
        </w:rPr>
        <w:t>信息系统管理使用情况</w:t>
      </w:r>
      <w:r>
        <w:rPr>
          <w:rFonts w:hint="eastAsia" w:ascii="宋体" w:hAnsi="宋体" w:eastAsia="宋体" w:cs="宋体"/>
          <w:sz w:val="30"/>
          <w:szCs w:val="30"/>
          <w:lang w:eastAsia="zh-CN"/>
        </w:rPr>
        <w:t>等；</w:t>
      </w:r>
      <w:r>
        <w:rPr>
          <w:rFonts w:ascii="宋体" w:hAnsi="宋体" w:eastAsia="宋体" w:cs="宋体"/>
          <w:sz w:val="30"/>
          <w:szCs w:val="30"/>
          <w:lang w:eastAsia="zh-CN"/>
        </w:rPr>
        <w:t>项目建设质量达标情况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项目建设进度情况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项目建设成本情况</w:t>
      </w:r>
      <w:r>
        <w:rPr>
          <w:rFonts w:hint="eastAsia" w:ascii="宋体" w:hAnsi="宋体" w:eastAsia="宋体" w:cs="宋体"/>
          <w:sz w:val="30"/>
          <w:szCs w:val="30"/>
          <w:lang w:eastAsia="zh-CN"/>
        </w:rPr>
        <w:t>等。</w:t>
      </w:r>
    </w:p>
    <w:p>
      <w:pPr>
        <w:numPr>
          <w:ilvl w:val="0"/>
          <w:numId w:val="3"/>
        </w:numPr>
        <w:spacing w:line="574" w:lineRule="exact"/>
        <w:ind w:left="0" w:leftChars="0" w:firstLine="600" w:firstLineChars="200"/>
        <w:jc w:val="both"/>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项目效益</w:t>
      </w:r>
    </w:p>
    <w:p>
      <w:pPr>
        <w:numPr>
          <w:ilvl w:val="0"/>
          <w:numId w:val="0"/>
        </w:numPr>
        <w:spacing w:line="574" w:lineRule="exact"/>
        <w:ind w:leftChars="200"/>
        <w:jc w:val="both"/>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 xml:space="preserve"> 项目</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lang w:eastAsia="zh-CN"/>
        </w:rPr>
        <w:t>、满意度方面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项目满意程度等。</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（二）评价思路方法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号文)、《项目支出绩效评价管理办法》（财预（2020）10号文），</w:t>
      </w:r>
      <w:r>
        <w:rPr>
          <w:rFonts w:hint="eastAsia" w:ascii="宋体" w:hAnsi="宋体" w:eastAsia="宋体" w:cs="宋体"/>
          <w:spacing w:val="-4"/>
          <w:sz w:val="30"/>
          <w:szCs w:val="30"/>
          <w:lang w:eastAsia="zh-CN"/>
        </w:rPr>
        <w:t>确定专项债券项目绩效自评</w:t>
      </w:r>
      <w:r>
        <w:rPr>
          <w:rFonts w:hint="eastAsia" w:ascii="宋体" w:hAnsi="宋体" w:eastAsia="宋体" w:cs="宋体"/>
          <w:sz w:val="30"/>
          <w:szCs w:val="30"/>
          <w:lang w:eastAsia="zh-CN"/>
        </w:rPr>
        <w:t>价的原则、方法、标准等。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1、绩效评价原则</w:t>
      </w:r>
    </w:p>
    <w:p>
      <w:p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应当遵循以下基本原则：（1）科学公正。绩效评价应当运用科学合理的方法，按照规范的程序，对项目绩效进行客观、公正的反映。（2）统筹兼顾。单位自评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w:t>
      </w:r>
    </w:p>
    <w:p>
      <w:pPr>
        <w:spacing w:line="574" w:lineRule="exact"/>
        <w:ind w:left="440" w:leftChars="200" w:firstLine="300" w:firstLineChars="100"/>
        <w:jc w:val="both"/>
        <w:rPr>
          <w:rFonts w:ascii="宋体" w:hAnsi="宋体" w:eastAsia="宋体" w:cs="宋体"/>
          <w:sz w:val="30"/>
          <w:szCs w:val="30"/>
          <w:lang w:eastAsia="zh-CN"/>
        </w:rPr>
      </w:pPr>
      <w:r>
        <w:rPr>
          <w:rFonts w:hint="eastAsia" w:ascii="宋体" w:hAnsi="宋体" w:eastAsia="宋体" w:cs="宋体"/>
          <w:sz w:val="30"/>
          <w:szCs w:val="30"/>
          <w:lang w:eastAsia="zh-CN"/>
        </w:rPr>
        <w:t>2、</w:t>
      </w:r>
      <w:r>
        <w:rPr>
          <w:rFonts w:ascii="宋体" w:hAnsi="宋体" w:eastAsia="宋体" w:cs="宋体"/>
          <w:sz w:val="30"/>
          <w:szCs w:val="30"/>
          <w:lang w:eastAsia="zh-CN"/>
        </w:rPr>
        <w:t>绩效评价标准</w:t>
      </w:r>
    </w:p>
    <w:p>
      <w:pPr>
        <w:spacing w:line="574" w:lineRule="exact"/>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    绩效评价标准通常包括计划标准、行业标准等，用于对绩效指标完成情况进行比较。（1）计划标准。指以预先制定的目标、计划、预算、定额等作为评价标准。（2）行业标准。指参照国家公布的行业指标数据制定的评价标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3、绩效评价方法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采用定量与定性评价相结合的比较法，总分由各项指标得分汇总形成。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定性指标得分按照以下方法评定：根据指标完成情况分为达成年度指标、部分达成年度指标并具有一定效果、未达成年度指标且效果较差三档，合理确定分值。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根据财预（2021）61号文，</w:t>
      </w:r>
      <w:r>
        <w:rPr>
          <w:rFonts w:ascii="宋体" w:hAnsi="宋体" w:eastAsia="宋体" w:cs="宋体"/>
          <w:sz w:val="30"/>
          <w:szCs w:val="30"/>
          <w:lang w:eastAsia="zh-CN"/>
        </w:rPr>
        <w:t>绩效评价</w:t>
      </w:r>
      <w:r>
        <w:rPr>
          <w:rFonts w:hint="eastAsia" w:ascii="宋体" w:hAnsi="宋体" w:eastAsia="宋体" w:cs="宋体"/>
          <w:sz w:val="30"/>
          <w:szCs w:val="30"/>
          <w:lang w:eastAsia="zh-CN"/>
        </w:rPr>
        <w:t>最终</w:t>
      </w:r>
      <w:r>
        <w:rPr>
          <w:rFonts w:ascii="宋体" w:hAnsi="宋体" w:eastAsia="宋体" w:cs="宋体"/>
          <w:sz w:val="30"/>
          <w:szCs w:val="30"/>
          <w:lang w:eastAsia="zh-CN"/>
        </w:rPr>
        <w:t>结果按照综合评分进行分级</w:t>
      </w:r>
      <w:r>
        <w:rPr>
          <w:rFonts w:hint="eastAsia" w:ascii="宋体" w:hAnsi="宋体" w:eastAsia="宋体" w:cs="宋体"/>
          <w:sz w:val="30"/>
          <w:szCs w:val="30"/>
          <w:lang w:eastAsia="zh-CN"/>
        </w:rPr>
        <w:t>。</w:t>
      </w:r>
      <w:r>
        <w:rPr>
          <w:rFonts w:ascii="宋体" w:hAnsi="宋体" w:eastAsia="宋体" w:cs="宋体"/>
          <w:sz w:val="30"/>
          <w:szCs w:val="30"/>
          <w:lang w:eastAsia="zh-CN"/>
        </w:rPr>
        <w:t>综合评分为90分(含)以上的为</w:t>
      </w:r>
      <w:r>
        <w:rPr>
          <w:rFonts w:hint="eastAsia" w:ascii="宋体" w:hAnsi="宋体" w:eastAsia="宋体" w:cs="宋体"/>
          <w:sz w:val="30"/>
          <w:szCs w:val="30"/>
          <w:lang w:eastAsia="zh-CN"/>
        </w:rPr>
        <w:t>“</w:t>
      </w:r>
      <w:r>
        <w:rPr>
          <w:rFonts w:ascii="宋体" w:hAnsi="宋体" w:eastAsia="宋体" w:cs="宋体"/>
          <w:sz w:val="30"/>
          <w:szCs w:val="30"/>
          <w:lang w:eastAsia="zh-CN"/>
        </w:rPr>
        <w:t>优</w:t>
      </w:r>
      <w:r>
        <w:rPr>
          <w:rFonts w:hint="eastAsia" w:ascii="宋体" w:hAnsi="宋体" w:eastAsia="宋体" w:cs="宋体"/>
          <w:sz w:val="30"/>
          <w:szCs w:val="30"/>
          <w:lang w:eastAsia="zh-CN"/>
        </w:rPr>
        <w:t>”</w:t>
      </w:r>
      <w:r>
        <w:rPr>
          <w:rFonts w:ascii="宋体" w:hAnsi="宋体" w:eastAsia="宋体" w:cs="宋体"/>
          <w:sz w:val="30"/>
          <w:szCs w:val="30"/>
          <w:lang w:eastAsia="zh-CN"/>
        </w:rPr>
        <w:t>,80分(含)至90分的为</w:t>
      </w:r>
      <w:r>
        <w:rPr>
          <w:rFonts w:hint="eastAsia" w:ascii="宋体" w:hAnsi="宋体" w:eastAsia="宋体" w:cs="宋体"/>
          <w:sz w:val="30"/>
          <w:szCs w:val="30"/>
          <w:lang w:eastAsia="zh-CN"/>
        </w:rPr>
        <w:t>“</w:t>
      </w:r>
      <w:r>
        <w:rPr>
          <w:rFonts w:ascii="宋体" w:hAnsi="宋体" w:eastAsia="宋体" w:cs="宋体"/>
          <w:sz w:val="30"/>
          <w:szCs w:val="30"/>
          <w:lang w:eastAsia="zh-CN"/>
        </w:rPr>
        <w:t>良</w:t>
      </w:r>
      <w:r>
        <w:rPr>
          <w:rFonts w:hint="eastAsia" w:ascii="宋体" w:hAnsi="宋体" w:eastAsia="宋体" w:cs="宋体"/>
          <w:sz w:val="30"/>
          <w:szCs w:val="30"/>
          <w:lang w:eastAsia="zh-CN"/>
        </w:rPr>
        <w:t>”</w:t>
      </w:r>
      <w:r>
        <w:rPr>
          <w:rFonts w:ascii="宋体" w:hAnsi="宋体" w:eastAsia="宋体" w:cs="宋体"/>
          <w:sz w:val="30"/>
          <w:szCs w:val="30"/>
          <w:lang w:eastAsia="zh-CN"/>
        </w:rPr>
        <w:t>,60分(含)至80分的为</w:t>
      </w:r>
      <w:r>
        <w:rPr>
          <w:rFonts w:hint="eastAsia" w:ascii="宋体" w:hAnsi="宋体" w:eastAsia="宋体" w:cs="宋体"/>
          <w:sz w:val="30"/>
          <w:szCs w:val="30"/>
          <w:lang w:eastAsia="zh-CN"/>
        </w:rPr>
        <w:t>“</w:t>
      </w:r>
      <w:r>
        <w:rPr>
          <w:rFonts w:ascii="宋体" w:hAnsi="宋体" w:eastAsia="宋体" w:cs="宋体"/>
          <w:sz w:val="30"/>
          <w:szCs w:val="30"/>
          <w:lang w:eastAsia="zh-CN"/>
        </w:rPr>
        <w:t>中</w:t>
      </w:r>
      <w:r>
        <w:rPr>
          <w:rFonts w:hint="eastAsia" w:ascii="宋体" w:hAnsi="宋体" w:eastAsia="宋体" w:cs="宋体"/>
          <w:sz w:val="30"/>
          <w:szCs w:val="30"/>
          <w:lang w:eastAsia="zh-CN"/>
        </w:rPr>
        <w:t>”，</w:t>
      </w:r>
      <w:r>
        <w:rPr>
          <w:rFonts w:ascii="宋体" w:hAnsi="宋体" w:eastAsia="宋体" w:cs="宋体"/>
          <w:sz w:val="30"/>
          <w:szCs w:val="30"/>
          <w:lang w:eastAsia="zh-CN"/>
        </w:rPr>
        <w:t>60分以下的为</w:t>
      </w:r>
      <w:r>
        <w:rPr>
          <w:rFonts w:hint="eastAsia" w:ascii="宋体" w:hAnsi="宋体" w:eastAsia="宋体" w:cs="宋体"/>
          <w:sz w:val="30"/>
          <w:szCs w:val="30"/>
          <w:lang w:eastAsia="zh-CN"/>
        </w:rPr>
        <w:t>“</w:t>
      </w:r>
      <w:r>
        <w:rPr>
          <w:rFonts w:ascii="宋体" w:hAnsi="宋体" w:eastAsia="宋体" w:cs="宋体"/>
          <w:sz w:val="30"/>
          <w:szCs w:val="30"/>
          <w:lang w:eastAsia="zh-CN"/>
        </w:rPr>
        <w:t>差</w:t>
      </w:r>
      <w:r>
        <w:rPr>
          <w:rFonts w:hint="eastAsia" w:ascii="宋体" w:hAnsi="宋体" w:eastAsia="宋体" w:cs="宋体"/>
          <w:sz w:val="30"/>
          <w:szCs w:val="30"/>
          <w:lang w:eastAsia="zh-CN"/>
        </w:rPr>
        <w:t xml:space="preserve">”。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4、本项目绩效评价指标权重</w:t>
      </w:r>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根据《项目支出绩效评价管理办法》（财预（2020）10号文），自评指标的权重根据项目实际情况确定。</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据此，结合本项目进度，绩效评价指标体系从项目过程、项目产出、</w:t>
      </w:r>
      <w:r>
        <w:rPr>
          <w:rFonts w:hint="eastAsia" w:ascii="宋体" w:hAnsi="宋体" w:eastAsia="宋体" w:cs="宋体"/>
          <w:sz w:val="30"/>
          <w:szCs w:val="30"/>
          <w:lang w:val="en-US" w:eastAsia="zh-CN"/>
        </w:rPr>
        <w:t>项目效益、</w:t>
      </w:r>
      <w:r>
        <w:rPr>
          <w:rFonts w:hint="eastAsia" w:ascii="宋体" w:hAnsi="宋体" w:eastAsia="宋体" w:cs="宋体"/>
          <w:sz w:val="30"/>
          <w:szCs w:val="30"/>
          <w:lang w:eastAsia="zh-CN"/>
        </w:rPr>
        <w:t>项目满意度</w:t>
      </w:r>
      <w:r>
        <w:rPr>
          <w:rFonts w:hint="eastAsia" w:ascii="宋体" w:hAnsi="宋体" w:eastAsia="宋体" w:cs="宋体"/>
          <w:sz w:val="30"/>
          <w:szCs w:val="30"/>
          <w:lang w:val="en-US" w:eastAsia="zh-CN"/>
        </w:rPr>
        <w:t>四</w:t>
      </w:r>
      <w:r>
        <w:rPr>
          <w:rFonts w:hint="eastAsia" w:ascii="宋体" w:hAnsi="宋体" w:eastAsia="宋体" w:cs="宋体"/>
          <w:sz w:val="30"/>
          <w:szCs w:val="30"/>
          <w:lang w:eastAsia="zh-CN"/>
        </w:rPr>
        <w:t>个方面进行构建。具体如下：</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（1）项目过程：由资金管理指标、组织实施指标构成。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（2）项目产出：由数量指标、质量指标、时效指标、成本指标构成。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3</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项目效益：</w:t>
      </w:r>
      <w:r>
        <w:rPr>
          <w:rFonts w:hint="eastAsia" w:ascii="宋体" w:hAnsi="宋体" w:eastAsia="宋体" w:cs="宋体"/>
          <w:sz w:val="30"/>
          <w:szCs w:val="30"/>
          <w:highlight w:val="none"/>
          <w:lang w:eastAsia="zh-CN"/>
        </w:rPr>
        <w:t>由</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w:t>
      </w:r>
      <w:r>
        <w:rPr>
          <w:rFonts w:hint="eastAsia" w:ascii="宋体" w:hAnsi="宋体" w:eastAsia="宋体" w:cs="宋体"/>
          <w:sz w:val="30"/>
          <w:szCs w:val="30"/>
          <w:highlight w:val="none"/>
          <w:lang w:eastAsia="zh-CN"/>
        </w:rPr>
        <w:t>指标构成。</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4</w:t>
      </w:r>
      <w:r>
        <w:rPr>
          <w:rFonts w:hint="eastAsia" w:ascii="宋体" w:hAnsi="宋体" w:eastAsia="宋体" w:cs="宋体"/>
          <w:sz w:val="30"/>
          <w:szCs w:val="30"/>
          <w:highlight w:val="none"/>
          <w:lang w:eastAsia="zh-CN"/>
        </w:rPr>
        <w:t>）项目满意度：由</w:t>
      </w:r>
      <w:r>
        <w:rPr>
          <w:rFonts w:hint="eastAsia" w:ascii="宋体" w:hAnsi="宋体" w:eastAsia="宋体" w:cs="宋体"/>
          <w:sz w:val="30"/>
          <w:szCs w:val="30"/>
          <w:highlight w:val="none"/>
          <w:lang w:val="en-US" w:eastAsia="zh-CN"/>
        </w:rPr>
        <w:t>周边居民满意度</w:t>
      </w:r>
      <w:r>
        <w:rPr>
          <w:rFonts w:hint="eastAsia" w:ascii="宋体" w:hAnsi="宋体" w:eastAsia="宋体" w:cs="宋体"/>
          <w:sz w:val="30"/>
          <w:szCs w:val="30"/>
          <w:highlight w:val="none"/>
          <w:lang w:eastAsia="zh-CN"/>
        </w:rPr>
        <w:t>指标构成。</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评价工作情况。主要为项目情况核查和分析等方</w:t>
      </w:r>
      <w:r>
        <w:rPr>
          <w:rFonts w:hint="eastAsia" w:ascii="宋体" w:hAnsi="宋体" w:eastAsia="宋体" w:cs="宋体"/>
          <w:sz w:val="30"/>
          <w:szCs w:val="30"/>
          <w:lang w:eastAsia="zh-CN"/>
        </w:rPr>
        <w:t xml:space="preserve">面的情况。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1、前期准备阶段</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根据绩效评价工作要求，结合实施绩效评价项目的特点，绩效评价组通过向项目组收集相关资料，并对项目深入研究、反复研讨，针对项目的特性设计相关表格，进行统计、分析、核实，作为项目评价信息。</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2、实地考察</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为保证本次绩效评价结果的客观、公正、科学，本次绩效评价主要采用实地考察办法。评价小组进行实地考察、访问听取项目情况介绍，考察、了解项目开展、项目执行、项目管控、财务管理等情况，以获取绩效评价所需的基础资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3、绩效分析阶段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绩效评价工作组通过收集资料、对照查证复核、数据分析等 工作程序，采用定性指标与定量指标结合、点面结合的方法，确保评价工作客观、公正。对自评表数据与佐证材料的相关数据进行了核实,对明显不合理的目标值,根据项目实际情况进行调整。进行绩效指标量化打分，经过汇总修正，得出最后评价结果。</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4、沟通反馈、报告撰写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经过与现场项目组反复沟通、交换意见，评价组内部讨论和修改，完成自评价报告的撰写工作。</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绩效评价结论。绩效评价的评分及等级等。</w:t>
      </w:r>
    </w:p>
    <w:p>
      <w:pPr>
        <w:numPr>
          <w:ilvl w:val="0"/>
          <w:numId w:val="0"/>
        </w:numPr>
        <w:adjustRightInd w:val="0"/>
        <w:snapToGrid w:val="0"/>
        <w:spacing w:line="574" w:lineRule="exact"/>
        <w:ind w:firstLine="600" w:firstLineChars="200"/>
        <w:jc w:val="both"/>
        <w:rPr>
          <w:rFonts w:ascii="宋体" w:hAnsi="宋体" w:eastAsia="宋体" w:cs="宋体"/>
          <w:spacing w:val="-15"/>
          <w:sz w:val="30"/>
          <w:szCs w:val="30"/>
          <w:lang w:eastAsia="zh-CN"/>
        </w:rPr>
      </w:pPr>
      <w:r>
        <w:rPr>
          <w:rFonts w:hint="eastAsia" w:ascii="宋体" w:hAnsi="宋体" w:eastAsia="宋体" w:cs="宋体"/>
          <w:sz w:val="30"/>
          <w:szCs w:val="30"/>
          <w:lang w:eastAsia="zh-CN"/>
        </w:rPr>
        <w:t>1、</w:t>
      </w:r>
      <w:r>
        <w:rPr>
          <w:rFonts w:hint="eastAsia" w:ascii="宋体" w:hAnsi="宋体" w:eastAsia="宋体" w:cs="宋体"/>
          <w:spacing w:val="-15"/>
          <w:sz w:val="30"/>
          <w:szCs w:val="30"/>
          <w:lang w:eastAsia="zh-CN"/>
        </w:rPr>
        <w:t>项目过程</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项目过程指标分为资金管理、组织实施。资金管理从资金到位率、</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执行率、资金使用合规性</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个方面评价资金收支和管理情况。组织实施从管理制度健全性、制度执行有效性两个方面评价工程管理制度及项目实施规范情况。</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）资金到位率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项目于202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年申请地方政府专项债券资金</w:t>
      </w:r>
      <w:r>
        <w:rPr>
          <w:rFonts w:hint="eastAsia" w:ascii="宋体" w:hAnsi="宋体" w:eastAsia="宋体" w:cs="宋体"/>
          <w:spacing w:val="-15"/>
          <w:sz w:val="30"/>
          <w:szCs w:val="30"/>
          <w:lang w:val="en-US" w:eastAsia="zh-CN"/>
        </w:rPr>
        <w:t>1.5亿</w:t>
      </w:r>
      <w:r>
        <w:rPr>
          <w:rFonts w:hint="eastAsia" w:ascii="宋体" w:hAnsi="宋体" w:eastAsia="宋体" w:cs="宋体"/>
          <w:spacing w:val="-15"/>
          <w:sz w:val="30"/>
          <w:szCs w:val="30"/>
          <w:lang w:eastAsia="zh-CN"/>
        </w:rPr>
        <w:t>元，截止202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年12月资金实际到位</w:t>
      </w:r>
      <w:r>
        <w:rPr>
          <w:rFonts w:hint="eastAsia" w:ascii="宋体" w:hAnsi="宋体" w:eastAsia="宋体" w:cs="宋体"/>
          <w:spacing w:val="-15"/>
          <w:sz w:val="30"/>
          <w:szCs w:val="30"/>
          <w:lang w:val="en-US" w:eastAsia="zh-CN"/>
        </w:rPr>
        <w:t>1.5亿</w:t>
      </w:r>
      <w:r>
        <w:rPr>
          <w:rFonts w:hint="eastAsia" w:ascii="宋体" w:hAnsi="宋体" w:eastAsia="宋体" w:cs="宋体"/>
          <w:spacing w:val="-15"/>
          <w:sz w:val="30"/>
          <w:szCs w:val="30"/>
          <w:lang w:eastAsia="zh-CN"/>
        </w:rPr>
        <w:t>元，资金到位率</w:t>
      </w:r>
      <w:r>
        <w:rPr>
          <w:rFonts w:hint="eastAsia" w:ascii="宋体" w:hAnsi="宋体" w:eastAsia="宋体" w:cs="宋体"/>
          <w:spacing w:val="-15"/>
          <w:sz w:val="30"/>
          <w:szCs w:val="30"/>
          <w:lang w:val="en-US" w:eastAsia="zh-CN"/>
        </w:rPr>
        <w:t>100</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专项债券资金支出</w:t>
      </w:r>
      <w:r>
        <w:rPr>
          <w:rFonts w:hint="eastAsia" w:ascii="宋体" w:hAnsi="宋体" w:eastAsia="宋体" w:cs="宋体"/>
          <w:spacing w:val="-15"/>
          <w:sz w:val="30"/>
          <w:szCs w:val="30"/>
          <w:lang w:val="en-US" w:eastAsia="zh-CN"/>
        </w:rPr>
        <w:t>0.7亿</w:t>
      </w:r>
      <w:r>
        <w:rPr>
          <w:rFonts w:hint="eastAsia" w:ascii="宋体" w:hAnsi="宋体" w:eastAsia="宋体" w:cs="宋体"/>
          <w:spacing w:val="-15"/>
          <w:sz w:val="30"/>
          <w:szCs w:val="30"/>
          <w:lang w:eastAsia="zh-CN"/>
        </w:rPr>
        <w:t>元，</w:t>
      </w:r>
      <w:r>
        <w:rPr>
          <w:rFonts w:hint="eastAsia" w:ascii="宋体" w:hAnsi="宋体" w:eastAsia="宋体" w:cs="宋体"/>
          <w:spacing w:val="-15"/>
          <w:sz w:val="30"/>
          <w:szCs w:val="30"/>
          <w:lang w:val="en-US" w:eastAsia="zh-CN"/>
        </w:rPr>
        <w:t>预算执行率为46.7%</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资金使用合规性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项目的资金使用符合国家财经法规和财务管理制度，不存在截留、挤占、挪用、虚列支出等情况。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（4）</w:t>
      </w:r>
      <w:r>
        <w:rPr>
          <w:rFonts w:hint="eastAsia" w:ascii="宋体" w:hAnsi="宋体" w:eastAsia="宋体" w:cs="宋体"/>
          <w:spacing w:val="-15"/>
          <w:sz w:val="30"/>
          <w:szCs w:val="30"/>
          <w:lang w:eastAsia="zh-CN"/>
        </w:rPr>
        <w:t>项目制度健全性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作为项目执行单位，具体负责项目实施过程中的建设管理，包括指定专人负责建设项目前期审批手续的办理；进行施工等单位的招投标遴选；组织施工单位按进度进行施工，并对工程建设质量、进度、安全、成本进行跟踪监督。</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（5）</w:t>
      </w:r>
      <w:r>
        <w:rPr>
          <w:rFonts w:hint="eastAsia" w:ascii="宋体" w:hAnsi="宋体" w:eastAsia="宋体" w:cs="宋体"/>
          <w:spacing w:val="-15"/>
          <w:sz w:val="30"/>
          <w:szCs w:val="30"/>
          <w:lang w:eastAsia="zh-CN"/>
        </w:rPr>
        <w:t>组织机构设置完备性</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根据本工程特点，成立工程项目部。项目部设项目经理、</w:t>
      </w:r>
      <w:r>
        <w:rPr>
          <w:rFonts w:hint="eastAsia" w:ascii="宋体" w:hAnsi="宋体" w:eastAsia="宋体" w:cs="宋体"/>
          <w:spacing w:val="-15"/>
          <w:sz w:val="30"/>
          <w:szCs w:val="30"/>
          <w:highlight w:val="none"/>
          <w:lang w:val="en-US" w:eastAsia="zh-CN"/>
        </w:rPr>
        <w:t>质量管理</w:t>
      </w: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投资管理</w:t>
      </w: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安全管理</w:t>
      </w: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进度管理</w:t>
      </w: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档案管理等人员</w:t>
      </w:r>
      <w:r>
        <w:rPr>
          <w:rFonts w:hint="eastAsia" w:ascii="宋体" w:hAnsi="宋体" w:eastAsia="宋体" w:cs="宋体"/>
          <w:spacing w:val="-15"/>
          <w:sz w:val="30"/>
          <w:szCs w:val="30"/>
          <w:highlight w:val="none"/>
          <w:lang w:eastAsia="zh-CN"/>
        </w:rPr>
        <w:t>，全面保证工程优质高效建成。</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项目产出</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）数量指标</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完成设计方案一项。</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完成施工招标一项。</w:t>
      </w:r>
    </w:p>
    <w:p>
      <w:pPr>
        <w:numPr>
          <w:ilvl w:val="0"/>
          <w:numId w:val="0"/>
        </w:numPr>
        <w:adjustRightInd w:val="0"/>
        <w:snapToGrid w:val="0"/>
        <w:spacing w:line="574" w:lineRule="exact"/>
        <w:ind w:left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）质量指标</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方案设计文件满足编制初步设计文件和控制概算的需要。</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在常州市建设工程交易平台发布招标公告，实行公开招标，施工招投标行为符合规范。</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3</w:t>
      </w:r>
      <w:r>
        <w:rPr>
          <w:rFonts w:hint="eastAsia" w:ascii="宋体" w:hAnsi="宋体" w:eastAsia="宋体" w:cs="宋体"/>
          <w:spacing w:val="-15"/>
          <w:sz w:val="30"/>
          <w:szCs w:val="30"/>
          <w:highlight w:val="none"/>
          <w:lang w:eastAsia="zh-CN"/>
        </w:rPr>
        <w:t>）时效指标</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设计方案交付及时</w:t>
      </w:r>
      <w:r>
        <w:rPr>
          <w:rFonts w:hint="eastAsia" w:ascii="宋体" w:hAnsi="宋体" w:eastAsia="宋体" w:cs="宋体"/>
          <w:spacing w:val="-15"/>
          <w:sz w:val="30"/>
          <w:szCs w:val="30"/>
          <w:highlight w:val="none"/>
          <w:lang w:val="en-US" w:eastAsia="zh-CN"/>
        </w:rPr>
        <w:t>。</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高压线迁改及时完成。</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2023年11月30日发布施工招标公告，招标程序及时。</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4</w:t>
      </w:r>
      <w:r>
        <w:rPr>
          <w:rFonts w:hint="eastAsia" w:ascii="宋体" w:hAnsi="宋体" w:eastAsia="宋体" w:cs="宋体"/>
          <w:spacing w:val="-15"/>
          <w:sz w:val="30"/>
          <w:szCs w:val="30"/>
          <w:highlight w:val="none"/>
          <w:lang w:eastAsia="zh-CN"/>
        </w:rPr>
        <w:t>）成本指标</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年度计划成本偏离率</w:t>
      </w:r>
      <w:r>
        <w:rPr>
          <w:rFonts w:hint="eastAsia" w:ascii="宋体" w:hAnsi="宋体" w:eastAsia="宋体" w:cs="宋体"/>
          <w:spacing w:val="-15"/>
          <w:sz w:val="30"/>
          <w:szCs w:val="30"/>
          <w:lang w:val="en-US" w:eastAsia="zh-CN"/>
        </w:rPr>
        <w:t>0%。</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效益</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经济效益</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经批准的可研投资估算作为成本控制的依据，</w:t>
      </w:r>
      <w:r>
        <w:rPr>
          <w:rFonts w:hint="eastAsia" w:ascii="宋体" w:hAnsi="宋体" w:eastAsia="宋体" w:cs="宋体"/>
          <w:spacing w:val="-15"/>
          <w:sz w:val="30"/>
          <w:szCs w:val="30"/>
          <w:lang w:val="en-US" w:eastAsia="zh-CN"/>
        </w:rPr>
        <w:t>不</w:t>
      </w:r>
      <w:r>
        <w:rPr>
          <w:rFonts w:hint="eastAsia" w:ascii="宋体" w:hAnsi="宋体" w:eastAsia="宋体" w:cs="宋体"/>
          <w:spacing w:val="-15"/>
          <w:sz w:val="30"/>
          <w:szCs w:val="30"/>
          <w:lang w:eastAsia="zh-CN"/>
        </w:rPr>
        <w:t>超可研总投资批复的10%。</w:t>
      </w:r>
    </w:p>
    <w:p>
      <w:pPr>
        <w:numPr>
          <w:ilvl w:val="0"/>
          <w:numId w:val="4"/>
        </w:num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社会效益 </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施工期间未受交通部门处罚，合理规划施工，未占用社会资源。</w:t>
      </w:r>
    </w:p>
    <w:p>
      <w:pPr>
        <w:numPr>
          <w:ilvl w:val="0"/>
          <w:numId w:val="4"/>
        </w:num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生态效益</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施工现场环境保护符合要求，未受环保部门处罚。</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四</w:t>
      </w:r>
      <w:r>
        <w:rPr>
          <w:rFonts w:hint="eastAsia" w:ascii="宋体" w:hAnsi="宋体" w:eastAsia="宋体" w:cs="宋体"/>
          <w:spacing w:val="-15"/>
          <w:sz w:val="30"/>
          <w:szCs w:val="30"/>
          <w:lang w:eastAsia="zh-CN"/>
        </w:rPr>
        <w:t>）满意度</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lang w:eastAsia="zh-CN"/>
        </w:rPr>
        <w:t>根据《中华人民共和国土地管理法》第四十七条规定，县级以上地方人民政府拟申请征收土地的，应当开展拟征收土地现状调查和社会稳定风险评估，并将征收范围、土地现状、征收目的、补偿标准、安置方式和社会保障等在拟征收土地所在的乡(镇)和村、村民小组范围内公告至少三十日，听取被征地的农村集体经济组织及其成员、村民委员会和其他利害关系人的意见。咨询比价后采用直接发包的方式委托溧阳市科力企业咨询管理有限公司编制项目社会稳定风险评估报告。</w:t>
      </w:r>
      <w:r>
        <w:rPr>
          <w:rFonts w:hint="eastAsia" w:ascii="宋体" w:hAnsi="宋体" w:eastAsia="宋体" w:cs="宋体"/>
          <w:spacing w:val="-15"/>
          <w:sz w:val="30"/>
          <w:szCs w:val="30"/>
          <w:highlight w:val="none"/>
          <w:lang w:val="en-US" w:eastAsia="zh-CN"/>
        </w:rPr>
        <w:t>项目建设过程中，</w:t>
      </w:r>
      <w:r>
        <w:rPr>
          <w:rFonts w:hint="eastAsia" w:ascii="宋体" w:hAnsi="宋体" w:eastAsia="宋体" w:cs="宋体"/>
          <w:spacing w:val="-15"/>
          <w:sz w:val="30"/>
          <w:szCs w:val="30"/>
          <w:highlight w:val="none"/>
          <w:lang w:eastAsia="zh-CN"/>
        </w:rPr>
        <w:t>未受</w:t>
      </w:r>
      <w:r>
        <w:rPr>
          <w:rFonts w:hint="eastAsia" w:ascii="宋体" w:hAnsi="宋体" w:eastAsia="宋体" w:cs="宋体"/>
          <w:spacing w:val="-15"/>
          <w:sz w:val="30"/>
          <w:szCs w:val="30"/>
          <w:highlight w:val="none"/>
          <w:lang w:val="en-US" w:eastAsia="zh-CN"/>
        </w:rPr>
        <w:t>到周边居民的</w:t>
      </w:r>
      <w:r>
        <w:rPr>
          <w:rFonts w:hint="eastAsia" w:ascii="宋体" w:hAnsi="宋体" w:eastAsia="宋体" w:cs="宋体"/>
          <w:spacing w:val="-15"/>
          <w:sz w:val="30"/>
          <w:szCs w:val="30"/>
          <w:highlight w:val="none"/>
          <w:lang w:eastAsia="zh-CN"/>
        </w:rPr>
        <w:t>投诉。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经过综合评价，自评得分</w:t>
      </w:r>
      <w:r>
        <w:rPr>
          <w:rFonts w:hint="eastAsia" w:ascii="宋体" w:hAnsi="宋体" w:eastAsia="宋体" w:cs="宋体"/>
          <w:sz w:val="30"/>
          <w:szCs w:val="30"/>
          <w:highlight w:val="none"/>
          <w:lang w:eastAsia="zh-CN"/>
        </w:rPr>
        <w:t>为</w:t>
      </w:r>
      <w:r>
        <w:rPr>
          <w:rFonts w:hint="eastAsia" w:ascii="宋体" w:hAnsi="宋体" w:eastAsia="宋体" w:cs="宋体"/>
          <w:sz w:val="30"/>
          <w:szCs w:val="30"/>
          <w:highlight w:val="none"/>
          <w:lang w:val="en-US" w:eastAsia="zh-CN"/>
        </w:rPr>
        <w:t>95.37</w:t>
      </w:r>
      <w:r>
        <w:rPr>
          <w:rFonts w:hint="eastAsia" w:ascii="宋体" w:hAnsi="宋体" w:eastAsia="宋体" w:cs="宋体"/>
          <w:sz w:val="30"/>
          <w:szCs w:val="30"/>
          <w:highlight w:val="none"/>
          <w:lang w:eastAsia="zh-CN"/>
        </w:rPr>
        <w:t>分</w:t>
      </w:r>
      <w:r>
        <w:rPr>
          <w:rFonts w:hint="eastAsia" w:ascii="宋体" w:hAnsi="宋体" w:eastAsia="宋体" w:cs="宋体"/>
          <w:sz w:val="30"/>
          <w:szCs w:val="30"/>
          <w:lang w:eastAsia="zh-CN"/>
        </w:rPr>
        <w:t>，项目评价等级为优。</w:t>
      </w:r>
    </w:p>
    <w:p>
      <w:pPr>
        <w:numPr>
          <w:ilvl w:val="0"/>
          <w:numId w:val="5"/>
        </w:num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项目绩效</w:t>
      </w:r>
    </w:p>
    <w:p>
      <w:pPr>
        <w:numPr>
          <w:ilvl w:val="0"/>
          <w:numId w:val="6"/>
        </w:numPr>
        <w:adjustRightInd w:val="0"/>
        <w:snapToGrid w:val="0"/>
        <w:spacing w:line="574" w:lineRule="exact"/>
        <w:ind w:firstLine="54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投资管理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按照项目实施进度、合同约定等向财政部门申请拨付资金。项目开工后，积极推进施工过程结算，按照时间节点或者进度节点约定付款周期，对分部质量验收通过的工程量，原则上同步计量、确认和支付工程价款。</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本项目资金的使用完全在投资估算范围内，未发生超出估算的情况，项目资金按计划使用情况良好。</w:t>
      </w:r>
    </w:p>
    <w:p>
      <w:pPr>
        <w:numPr>
          <w:ilvl w:val="0"/>
          <w:numId w:val="6"/>
        </w:numPr>
        <w:adjustRightInd w:val="0"/>
        <w:snapToGrid w:val="0"/>
        <w:spacing w:line="574" w:lineRule="exact"/>
        <w:ind w:firstLine="54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质量管理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建立健全工程项目质量管理体系，配备专职人员并明确其质量管理职责。法定代表人按照规定签署授权书，明确项目负责人，项目负责人按照规定签署工程质量终身责任承诺书。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2、项目开工后，</w:t>
      </w:r>
      <w:r>
        <w:rPr>
          <w:rFonts w:hint="eastAsia" w:ascii="宋体" w:hAnsi="宋体" w:eastAsia="宋体" w:cs="宋体"/>
          <w:spacing w:val="-15"/>
          <w:sz w:val="30"/>
          <w:szCs w:val="30"/>
          <w:lang w:eastAsia="zh-CN"/>
        </w:rPr>
        <w:t>督促勘察、设计、施工、监理等单位切实履行质量责任，按照工程质量管理标准化的要求贯彻落实工程质量安全手册制度、举牌验收制度、样板示范制度和质量责任追溯制度，严格按照合同约定加强对现场质量管理人员到岗履职情况的检查考核，及时组织处理建设过程中的质量问题。</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严格质量检测管理，将委托第三方检测机构对工程实施过程中原材料、半成品等进行抽检试验，对工程实体的质量进行现场检测。</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（三）</w:t>
      </w:r>
      <w:r>
        <w:rPr>
          <w:rFonts w:hint="eastAsia" w:ascii="宋体" w:hAnsi="宋体" w:eastAsia="宋体" w:cs="宋体"/>
          <w:spacing w:val="-15"/>
          <w:sz w:val="30"/>
          <w:szCs w:val="30"/>
          <w:highlight w:val="none"/>
          <w:lang w:val="en-US" w:eastAsia="zh-CN"/>
        </w:rPr>
        <w:t>进度管理</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严格按照现行建设工程管理程序编制报审程序、网络图指导，组织实施各环节的工作。运用关键线路控制原则，对影响项目开工建设及后续工作开展的工作、程序实施重点控制。审批过程中，保持与审批部门的联系，主动了解审批进度，可能的情况下予以协调，以促进审批进度，缩短审批时间。</w:t>
      </w:r>
      <w:r>
        <w:rPr>
          <w:rFonts w:hint="eastAsia" w:ascii="宋体" w:hAnsi="宋体" w:eastAsia="宋体" w:cs="宋体"/>
          <w:spacing w:val="-15"/>
          <w:sz w:val="30"/>
          <w:szCs w:val="30"/>
          <w:lang w:val="en-US" w:eastAsia="zh-CN"/>
        </w:rPr>
        <w:t xml:space="preserve"> </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2、要求各参建单位严格按照节点控制进度，与进度计划对比，评估进度的完成情况，若有滞后计划的情况，向参建单位发函，要求其采取合理措施调整进度。</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（四）</w:t>
      </w:r>
      <w:r>
        <w:rPr>
          <w:rFonts w:hint="eastAsia" w:ascii="宋体" w:hAnsi="宋体" w:eastAsia="宋体" w:cs="宋体"/>
          <w:spacing w:val="-15"/>
          <w:sz w:val="30"/>
          <w:szCs w:val="30"/>
          <w:lang w:val="en-US" w:eastAsia="zh-CN"/>
        </w:rPr>
        <w:t>安全管理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w:t>
      </w:r>
      <w:r>
        <w:rPr>
          <w:rFonts w:hint="eastAsia" w:ascii="宋体" w:hAnsi="宋体" w:eastAsia="宋体" w:cs="宋体"/>
          <w:spacing w:val="-15"/>
          <w:sz w:val="30"/>
          <w:szCs w:val="30"/>
          <w:lang w:val="en-US" w:eastAsia="zh-CN"/>
        </w:rPr>
        <w:t>项目开工后，</w:t>
      </w:r>
      <w:r>
        <w:rPr>
          <w:rFonts w:hint="eastAsia" w:ascii="宋体" w:hAnsi="宋体" w:eastAsia="宋体" w:cs="宋体"/>
          <w:spacing w:val="-15"/>
          <w:sz w:val="30"/>
          <w:szCs w:val="30"/>
          <w:lang w:eastAsia="zh-CN"/>
        </w:rPr>
        <w:t>开展安全巡查和检查，并对发现的问题向承包人提出相关建议，及时督促相关单位整改，跟踪整改情况；检查关键工程的工艺性试验；对质量缺陷、质量事故进行检查并提交报告；按照行业主管部门、上级有关单位的要求开展质量安全专项活动。</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五</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 xml:space="preserve">档案管理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1、了解部门的工作业务开展情况，掌握部门文件材料的归档范围，收集部门的文件材料；整理文件时应遵循文件的形成规律和特点，保持文件之间的有机联系。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2、认真执行平时归档制度，对部门承办工作所产生的文件材料应及时收集，进行分类登记，归档，部门资料员应自行编制档案目录。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3、移交档案时，如有电子文档应同时移交相关文件，对于具有重要保存价值的电子文件，应备份内容相同的纸质文件同时归档。对于部门业务工作中仍需使用的文件和资料，应在归档前自行制作复印件，并在本部门内妥善保管。 </w:t>
      </w:r>
    </w:p>
    <w:p>
      <w:p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四、存在问题</w:t>
      </w:r>
      <w:r>
        <w:rPr>
          <w:rFonts w:hint="eastAsia" w:ascii="宋体" w:hAnsi="宋体" w:eastAsia="宋体" w:cs="宋体"/>
          <w:sz w:val="30"/>
          <w:szCs w:val="30"/>
          <w:lang w:eastAsia="zh-CN"/>
        </w:rPr>
        <w:t>。</w:t>
      </w:r>
    </w:p>
    <w:p>
      <w:pPr>
        <w:spacing w:line="574" w:lineRule="exact"/>
        <w:ind w:firstLine="600" w:firstLineChars="200"/>
        <w:jc w:val="both"/>
        <w:rPr>
          <w:rFonts w:ascii="宋体" w:hAnsi="宋体" w:eastAsia="宋体" w:cs="宋体"/>
          <w:sz w:val="30"/>
          <w:szCs w:val="30"/>
          <w:highlight w:val="cyan"/>
          <w:lang w:eastAsia="zh-CN"/>
        </w:rPr>
      </w:pPr>
      <w:r>
        <w:rPr>
          <w:rFonts w:hint="eastAsia" w:ascii="宋体" w:hAnsi="宋体" w:eastAsia="宋体" w:cs="宋体"/>
          <w:sz w:val="30"/>
          <w:szCs w:val="30"/>
          <w:highlight w:val="none"/>
          <w:lang w:eastAsia="zh-CN"/>
        </w:rPr>
        <w:t>在勘察设计阶段和施工准备阶段，预算执行率指标较低。债券发行前用地尚未取得，资金支出进度面临不确定性。</w:t>
      </w:r>
    </w:p>
    <w:p>
      <w:pPr>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五、有关建议</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今后做好预期管理，针对新建项目，根据开工时间安排资金；针对续建项目，按照工程进度保障资金；针对储备项目，适时安排前期资金。</w:t>
      </w:r>
    </w:p>
    <w:p>
      <w:pPr>
        <w:numPr>
          <w:ilvl w:val="0"/>
          <w:numId w:val="7"/>
        </w:numPr>
        <w:spacing w:line="574" w:lineRule="exact"/>
        <w:ind w:firstLine="602" w:firstLineChars="200"/>
        <w:jc w:val="both"/>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附件</w:t>
      </w:r>
      <w:bookmarkStart w:id="0" w:name="苏财规2020-020附件-3"/>
      <w:bookmarkEnd w:id="0"/>
      <w:bookmarkStart w:id="1" w:name="附件3_项目支出绩效评价指标体系框架"/>
      <w:bookmarkEnd w:id="1"/>
      <w:bookmarkStart w:id="2" w:name="附件4_项目支出绩效评价工作方案提纲"/>
      <w:bookmarkEnd w:id="2"/>
      <w:bookmarkStart w:id="3" w:name="苏财规2020-020附件-4"/>
      <w:bookmarkEnd w:id="3"/>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val="en-US" w:eastAsia="zh-CN"/>
        </w:rPr>
        <w:t>1、绩效自评价评分表</w:t>
      </w:r>
    </w:p>
    <w:p>
      <w:pPr>
        <w:numPr>
          <w:ilvl w:val="0"/>
          <w:numId w:val="0"/>
        </w:numPr>
        <w:spacing w:line="574" w:lineRule="exact"/>
        <w:jc w:val="both"/>
        <w:rPr>
          <w:rFonts w:hint="eastAsia" w:ascii="宋体" w:hAnsi="宋体" w:eastAsia="宋体" w:cs="宋体"/>
          <w:b/>
          <w:bCs/>
          <w:sz w:val="30"/>
          <w:szCs w:val="30"/>
          <w:lang w:eastAsia="zh-CN"/>
        </w:rPr>
      </w:pPr>
    </w:p>
    <w:sectPr>
      <w:pgSz w:w="11910" w:h="16840"/>
      <w:pgMar w:top="1984" w:right="1134" w:bottom="1984" w:left="1417" w:header="720" w:footer="72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EE595"/>
    <w:multiLevelType w:val="singleLevel"/>
    <w:tmpl w:val="8B1EE595"/>
    <w:lvl w:ilvl="0" w:tentative="0">
      <w:start w:val="1"/>
      <w:numFmt w:val="decimal"/>
      <w:suff w:val="nothing"/>
      <w:lvlText w:val="%1、"/>
      <w:lvlJc w:val="left"/>
    </w:lvl>
  </w:abstractNum>
  <w:abstractNum w:abstractNumId="1">
    <w:nsid w:val="A7ECF659"/>
    <w:multiLevelType w:val="singleLevel"/>
    <w:tmpl w:val="A7ECF659"/>
    <w:lvl w:ilvl="0" w:tentative="0">
      <w:start w:val="6"/>
      <w:numFmt w:val="chineseCounting"/>
      <w:suff w:val="nothing"/>
      <w:lvlText w:val="%1、"/>
      <w:lvlJc w:val="left"/>
      <w:rPr>
        <w:rFonts w:hint="eastAsia"/>
      </w:rPr>
    </w:lvl>
  </w:abstractNum>
  <w:abstractNum w:abstractNumId="2">
    <w:nsid w:val="0648E829"/>
    <w:multiLevelType w:val="singleLevel"/>
    <w:tmpl w:val="0648E829"/>
    <w:lvl w:ilvl="0" w:tentative="0">
      <w:start w:val="1"/>
      <w:numFmt w:val="chineseCounting"/>
      <w:suff w:val="nothing"/>
      <w:lvlText w:val="（%1）"/>
      <w:lvlJc w:val="left"/>
      <w:rPr>
        <w:rFonts w:hint="eastAsia"/>
      </w:rPr>
    </w:lvl>
  </w:abstractNum>
  <w:abstractNum w:abstractNumId="3">
    <w:nsid w:val="16502C84"/>
    <w:multiLevelType w:val="singleLevel"/>
    <w:tmpl w:val="16502C84"/>
    <w:lvl w:ilvl="0" w:tentative="0">
      <w:start w:val="2"/>
      <w:numFmt w:val="decimal"/>
      <w:suff w:val="nothing"/>
      <w:lvlText w:val="（%1）"/>
      <w:lvlJc w:val="left"/>
    </w:lvl>
  </w:abstractNum>
  <w:abstractNum w:abstractNumId="4">
    <w:nsid w:val="5477D830"/>
    <w:multiLevelType w:val="singleLevel"/>
    <w:tmpl w:val="5477D830"/>
    <w:lvl w:ilvl="0" w:tentative="0">
      <w:start w:val="3"/>
      <w:numFmt w:val="chineseCounting"/>
      <w:suff w:val="nothing"/>
      <w:lvlText w:val="%1、"/>
      <w:lvlJc w:val="left"/>
      <w:rPr>
        <w:rFonts w:hint="eastAsia"/>
      </w:rPr>
    </w:lvl>
  </w:abstractNum>
  <w:abstractNum w:abstractNumId="5">
    <w:nsid w:val="5AFE4926"/>
    <w:multiLevelType w:val="singleLevel"/>
    <w:tmpl w:val="5AFE4926"/>
    <w:lvl w:ilvl="0" w:tentative="0">
      <w:start w:val="2"/>
      <w:numFmt w:val="chineseCounting"/>
      <w:suff w:val="nothing"/>
      <w:lvlText w:val="（%1）"/>
      <w:lvlJc w:val="left"/>
      <w:pPr>
        <w:ind w:left="-160"/>
      </w:pPr>
      <w:rPr>
        <w:rFonts w:hint="eastAsia"/>
      </w:rPr>
    </w:lvl>
  </w:abstractNum>
  <w:abstractNum w:abstractNumId="6">
    <w:nsid w:val="776AF386"/>
    <w:multiLevelType w:val="singleLevel"/>
    <w:tmpl w:val="776AF386"/>
    <w:lvl w:ilvl="0" w:tentative="0">
      <w:start w:val="2"/>
      <w:numFmt w:val="decimal"/>
      <w:suff w:val="nothing"/>
      <w:lvlText w:val="%1、"/>
      <w:lvlJc w:val="left"/>
    </w:lvl>
  </w:abstractNum>
  <w:num w:numId="1">
    <w:abstractNumId w:val="5"/>
  </w:num>
  <w:num w:numId="2">
    <w:abstractNumId w:val="6"/>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NTUyOTEwY2NiMzg5MDEwYmU5YjIxYWEyZWQwZGMifQ=="/>
  </w:docVars>
  <w:rsids>
    <w:rsidRoot w:val="006A0286"/>
    <w:rsid w:val="0000186F"/>
    <w:rsid w:val="00027842"/>
    <w:rsid w:val="000F0010"/>
    <w:rsid w:val="001076FD"/>
    <w:rsid w:val="00112A3C"/>
    <w:rsid w:val="0012335B"/>
    <w:rsid w:val="00170EBA"/>
    <w:rsid w:val="001D43CE"/>
    <w:rsid w:val="001E1F08"/>
    <w:rsid w:val="001F5652"/>
    <w:rsid w:val="002034C4"/>
    <w:rsid w:val="00223670"/>
    <w:rsid w:val="002F39B9"/>
    <w:rsid w:val="00317F35"/>
    <w:rsid w:val="003D4D43"/>
    <w:rsid w:val="003E2E24"/>
    <w:rsid w:val="00412A90"/>
    <w:rsid w:val="00427AA3"/>
    <w:rsid w:val="00453872"/>
    <w:rsid w:val="00485FCA"/>
    <w:rsid w:val="00496584"/>
    <w:rsid w:val="004B1555"/>
    <w:rsid w:val="004E3E98"/>
    <w:rsid w:val="004F2889"/>
    <w:rsid w:val="00541FD2"/>
    <w:rsid w:val="0055497B"/>
    <w:rsid w:val="0058181F"/>
    <w:rsid w:val="005C5968"/>
    <w:rsid w:val="005D094F"/>
    <w:rsid w:val="005D61F8"/>
    <w:rsid w:val="006032DC"/>
    <w:rsid w:val="006A0286"/>
    <w:rsid w:val="006F1257"/>
    <w:rsid w:val="006F2AB8"/>
    <w:rsid w:val="00705B52"/>
    <w:rsid w:val="00721281"/>
    <w:rsid w:val="0072674E"/>
    <w:rsid w:val="007416BA"/>
    <w:rsid w:val="0075652D"/>
    <w:rsid w:val="00784065"/>
    <w:rsid w:val="007A754E"/>
    <w:rsid w:val="00830C91"/>
    <w:rsid w:val="008C735A"/>
    <w:rsid w:val="008D7527"/>
    <w:rsid w:val="008F6FC9"/>
    <w:rsid w:val="00926E98"/>
    <w:rsid w:val="0095504B"/>
    <w:rsid w:val="009B2D68"/>
    <w:rsid w:val="00A14DE2"/>
    <w:rsid w:val="00A72387"/>
    <w:rsid w:val="00A736D9"/>
    <w:rsid w:val="00A863A2"/>
    <w:rsid w:val="00AA24DC"/>
    <w:rsid w:val="00AC69E3"/>
    <w:rsid w:val="00B14C89"/>
    <w:rsid w:val="00B33955"/>
    <w:rsid w:val="00BD1F01"/>
    <w:rsid w:val="00CB64D3"/>
    <w:rsid w:val="00D20830"/>
    <w:rsid w:val="00D20FCF"/>
    <w:rsid w:val="00D71C46"/>
    <w:rsid w:val="00D855DD"/>
    <w:rsid w:val="00D85F96"/>
    <w:rsid w:val="00DE067D"/>
    <w:rsid w:val="00DF053C"/>
    <w:rsid w:val="00DF24E7"/>
    <w:rsid w:val="00E1011A"/>
    <w:rsid w:val="00E70A55"/>
    <w:rsid w:val="00EB03FD"/>
    <w:rsid w:val="00EB47A6"/>
    <w:rsid w:val="00ED06B2"/>
    <w:rsid w:val="00EF65E3"/>
    <w:rsid w:val="00F161C4"/>
    <w:rsid w:val="00F35A70"/>
    <w:rsid w:val="00F4202D"/>
    <w:rsid w:val="00FB5E7E"/>
    <w:rsid w:val="00FC405A"/>
    <w:rsid w:val="00FC7877"/>
    <w:rsid w:val="010B405F"/>
    <w:rsid w:val="01522F33"/>
    <w:rsid w:val="015522D5"/>
    <w:rsid w:val="0166457E"/>
    <w:rsid w:val="01A00C4B"/>
    <w:rsid w:val="01B018C4"/>
    <w:rsid w:val="01F11CD4"/>
    <w:rsid w:val="0255721E"/>
    <w:rsid w:val="025D7FF3"/>
    <w:rsid w:val="027520D7"/>
    <w:rsid w:val="02D84C98"/>
    <w:rsid w:val="02DA66D9"/>
    <w:rsid w:val="031F3DF1"/>
    <w:rsid w:val="036363D4"/>
    <w:rsid w:val="03655CA8"/>
    <w:rsid w:val="0384671D"/>
    <w:rsid w:val="038812D5"/>
    <w:rsid w:val="041004C7"/>
    <w:rsid w:val="04765A2E"/>
    <w:rsid w:val="04B9600D"/>
    <w:rsid w:val="04C603A8"/>
    <w:rsid w:val="04E11CA6"/>
    <w:rsid w:val="05031C1C"/>
    <w:rsid w:val="05261D79"/>
    <w:rsid w:val="052A6DD2"/>
    <w:rsid w:val="058A7C48"/>
    <w:rsid w:val="05F5658A"/>
    <w:rsid w:val="06513492"/>
    <w:rsid w:val="069977D8"/>
    <w:rsid w:val="06B17456"/>
    <w:rsid w:val="06B57DFC"/>
    <w:rsid w:val="07025814"/>
    <w:rsid w:val="071D3E77"/>
    <w:rsid w:val="0730481F"/>
    <w:rsid w:val="0790350F"/>
    <w:rsid w:val="07AD40C1"/>
    <w:rsid w:val="07B014DD"/>
    <w:rsid w:val="07B84B3A"/>
    <w:rsid w:val="080B6E7B"/>
    <w:rsid w:val="087C7C39"/>
    <w:rsid w:val="0889727B"/>
    <w:rsid w:val="08FE016C"/>
    <w:rsid w:val="09300B06"/>
    <w:rsid w:val="0936645D"/>
    <w:rsid w:val="09572537"/>
    <w:rsid w:val="097035F9"/>
    <w:rsid w:val="098D417D"/>
    <w:rsid w:val="09FC4E8C"/>
    <w:rsid w:val="0A044DA3"/>
    <w:rsid w:val="0A0E15E8"/>
    <w:rsid w:val="0A195594"/>
    <w:rsid w:val="0A3269CB"/>
    <w:rsid w:val="0AFE3B88"/>
    <w:rsid w:val="0B48482D"/>
    <w:rsid w:val="0B946198"/>
    <w:rsid w:val="0BD90DA4"/>
    <w:rsid w:val="0BFA1390"/>
    <w:rsid w:val="0C1038AA"/>
    <w:rsid w:val="0C171CB6"/>
    <w:rsid w:val="0C1D32AF"/>
    <w:rsid w:val="0C33272B"/>
    <w:rsid w:val="0C523489"/>
    <w:rsid w:val="0CAC4FB4"/>
    <w:rsid w:val="0CB437FC"/>
    <w:rsid w:val="0CCC472A"/>
    <w:rsid w:val="0CF55C46"/>
    <w:rsid w:val="0D1D75F3"/>
    <w:rsid w:val="0D3C666E"/>
    <w:rsid w:val="0DA11A57"/>
    <w:rsid w:val="0DB77E1B"/>
    <w:rsid w:val="0DE30198"/>
    <w:rsid w:val="0DE70FE6"/>
    <w:rsid w:val="0E1F7BDE"/>
    <w:rsid w:val="0E3746E5"/>
    <w:rsid w:val="0E642E01"/>
    <w:rsid w:val="0F123345"/>
    <w:rsid w:val="0F961D1A"/>
    <w:rsid w:val="0FB71F52"/>
    <w:rsid w:val="0FC86E19"/>
    <w:rsid w:val="0FE443F8"/>
    <w:rsid w:val="105253FD"/>
    <w:rsid w:val="10E741A0"/>
    <w:rsid w:val="10F0290B"/>
    <w:rsid w:val="10F451BF"/>
    <w:rsid w:val="11052878"/>
    <w:rsid w:val="114F378A"/>
    <w:rsid w:val="1150463B"/>
    <w:rsid w:val="11D772FB"/>
    <w:rsid w:val="11E55436"/>
    <w:rsid w:val="125853BD"/>
    <w:rsid w:val="12B47E12"/>
    <w:rsid w:val="12D6271E"/>
    <w:rsid w:val="12F336D9"/>
    <w:rsid w:val="13966BB5"/>
    <w:rsid w:val="13D604FC"/>
    <w:rsid w:val="15763D45"/>
    <w:rsid w:val="15785BB6"/>
    <w:rsid w:val="15AE1730"/>
    <w:rsid w:val="15AE235B"/>
    <w:rsid w:val="16467BBB"/>
    <w:rsid w:val="16690AD8"/>
    <w:rsid w:val="168B1A72"/>
    <w:rsid w:val="17AE3C6A"/>
    <w:rsid w:val="17CF014A"/>
    <w:rsid w:val="180B3F4D"/>
    <w:rsid w:val="181D78FA"/>
    <w:rsid w:val="18915FD7"/>
    <w:rsid w:val="18B84674"/>
    <w:rsid w:val="18C930EF"/>
    <w:rsid w:val="18F70EA2"/>
    <w:rsid w:val="190212E1"/>
    <w:rsid w:val="192D38C8"/>
    <w:rsid w:val="193351D1"/>
    <w:rsid w:val="19341A2E"/>
    <w:rsid w:val="196D699A"/>
    <w:rsid w:val="19831126"/>
    <w:rsid w:val="19A36EAD"/>
    <w:rsid w:val="1A183487"/>
    <w:rsid w:val="1A387A77"/>
    <w:rsid w:val="1A8B0593"/>
    <w:rsid w:val="1ABC6DFD"/>
    <w:rsid w:val="1AF128F9"/>
    <w:rsid w:val="1BE032D6"/>
    <w:rsid w:val="1BE80837"/>
    <w:rsid w:val="1C220CF4"/>
    <w:rsid w:val="1C544E56"/>
    <w:rsid w:val="1C8B0CB9"/>
    <w:rsid w:val="1CAA202B"/>
    <w:rsid w:val="1CB57518"/>
    <w:rsid w:val="1CEE0B2F"/>
    <w:rsid w:val="1D0E6F59"/>
    <w:rsid w:val="1E223E6B"/>
    <w:rsid w:val="1E3B2713"/>
    <w:rsid w:val="1E7A1200"/>
    <w:rsid w:val="1EF0001F"/>
    <w:rsid w:val="1EF6072C"/>
    <w:rsid w:val="1F0F26C5"/>
    <w:rsid w:val="1F141FC7"/>
    <w:rsid w:val="1F4153EC"/>
    <w:rsid w:val="20104D96"/>
    <w:rsid w:val="20A57420"/>
    <w:rsid w:val="20AB7D17"/>
    <w:rsid w:val="20E5699A"/>
    <w:rsid w:val="20EC75B1"/>
    <w:rsid w:val="20FA72D4"/>
    <w:rsid w:val="213E63B9"/>
    <w:rsid w:val="21823518"/>
    <w:rsid w:val="21A94054"/>
    <w:rsid w:val="21CA79F1"/>
    <w:rsid w:val="22E73BCC"/>
    <w:rsid w:val="232E3EB1"/>
    <w:rsid w:val="23647F11"/>
    <w:rsid w:val="2381290B"/>
    <w:rsid w:val="23BA0077"/>
    <w:rsid w:val="24523BCF"/>
    <w:rsid w:val="24550140"/>
    <w:rsid w:val="248B40E3"/>
    <w:rsid w:val="24F3563C"/>
    <w:rsid w:val="251865DA"/>
    <w:rsid w:val="256F4FB0"/>
    <w:rsid w:val="25B367A6"/>
    <w:rsid w:val="261C4DF6"/>
    <w:rsid w:val="26360CD5"/>
    <w:rsid w:val="26394025"/>
    <w:rsid w:val="264C1327"/>
    <w:rsid w:val="265E2CFF"/>
    <w:rsid w:val="26737D1F"/>
    <w:rsid w:val="26B741BD"/>
    <w:rsid w:val="270B77EA"/>
    <w:rsid w:val="27BF3329"/>
    <w:rsid w:val="27D112AE"/>
    <w:rsid w:val="28333130"/>
    <w:rsid w:val="288363F1"/>
    <w:rsid w:val="28DE70CF"/>
    <w:rsid w:val="28ED5497"/>
    <w:rsid w:val="290D492E"/>
    <w:rsid w:val="294A7316"/>
    <w:rsid w:val="294E2E79"/>
    <w:rsid w:val="294F7F37"/>
    <w:rsid w:val="2A083A69"/>
    <w:rsid w:val="2A171AE2"/>
    <w:rsid w:val="2A4C443E"/>
    <w:rsid w:val="2A8635DD"/>
    <w:rsid w:val="2A8704DB"/>
    <w:rsid w:val="2B007153"/>
    <w:rsid w:val="2B4E46A4"/>
    <w:rsid w:val="2B57010A"/>
    <w:rsid w:val="2BC179BE"/>
    <w:rsid w:val="2C0E033F"/>
    <w:rsid w:val="2C13380B"/>
    <w:rsid w:val="2C545D3B"/>
    <w:rsid w:val="2C5B7427"/>
    <w:rsid w:val="2CAB0320"/>
    <w:rsid w:val="2CB0263E"/>
    <w:rsid w:val="2D13578C"/>
    <w:rsid w:val="2D3C675D"/>
    <w:rsid w:val="2D960E01"/>
    <w:rsid w:val="2DC512C1"/>
    <w:rsid w:val="2E7F3812"/>
    <w:rsid w:val="2ECE4A89"/>
    <w:rsid w:val="2EEB3ECB"/>
    <w:rsid w:val="2F4B41D2"/>
    <w:rsid w:val="2F893638"/>
    <w:rsid w:val="2F9A5FCC"/>
    <w:rsid w:val="2FBC5F92"/>
    <w:rsid w:val="2FD55F51"/>
    <w:rsid w:val="2FDE0777"/>
    <w:rsid w:val="2FE104EC"/>
    <w:rsid w:val="30350655"/>
    <w:rsid w:val="306B50FC"/>
    <w:rsid w:val="30730E37"/>
    <w:rsid w:val="3083606D"/>
    <w:rsid w:val="309161AB"/>
    <w:rsid w:val="30A85ED8"/>
    <w:rsid w:val="30EB524A"/>
    <w:rsid w:val="30F11747"/>
    <w:rsid w:val="311D7B96"/>
    <w:rsid w:val="3122424F"/>
    <w:rsid w:val="3168581A"/>
    <w:rsid w:val="3223715A"/>
    <w:rsid w:val="32454D73"/>
    <w:rsid w:val="326B739A"/>
    <w:rsid w:val="32D3237F"/>
    <w:rsid w:val="331217FF"/>
    <w:rsid w:val="3338475E"/>
    <w:rsid w:val="33804D41"/>
    <w:rsid w:val="33EA5D0B"/>
    <w:rsid w:val="33F00D0E"/>
    <w:rsid w:val="341359E2"/>
    <w:rsid w:val="34214C71"/>
    <w:rsid w:val="348A2CD0"/>
    <w:rsid w:val="353D61D5"/>
    <w:rsid w:val="35762E24"/>
    <w:rsid w:val="35D51CC1"/>
    <w:rsid w:val="35FF414A"/>
    <w:rsid w:val="36587B4D"/>
    <w:rsid w:val="3698058A"/>
    <w:rsid w:val="369D19AA"/>
    <w:rsid w:val="371E7849"/>
    <w:rsid w:val="37206361"/>
    <w:rsid w:val="372D1FC1"/>
    <w:rsid w:val="37930D8D"/>
    <w:rsid w:val="37C73E07"/>
    <w:rsid w:val="37FD5054"/>
    <w:rsid w:val="38055F79"/>
    <w:rsid w:val="38BB18EB"/>
    <w:rsid w:val="38E452E6"/>
    <w:rsid w:val="394915ED"/>
    <w:rsid w:val="395635DF"/>
    <w:rsid w:val="39847CE6"/>
    <w:rsid w:val="3988042D"/>
    <w:rsid w:val="39B01F36"/>
    <w:rsid w:val="3A0D48E4"/>
    <w:rsid w:val="3A1460C1"/>
    <w:rsid w:val="3A634545"/>
    <w:rsid w:val="3A667F7C"/>
    <w:rsid w:val="3A673119"/>
    <w:rsid w:val="3A7379ED"/>
    <w:rsid w:val="3A845141"/>
    <w:rsid w:val="3A865F28"/>
    <w:rsid w:val="3AAF547F"/>
    <w:rsid w:val="3AEF7F72"/>
    <w:rsid w:val="3B5902C2"/>
    <w:rsid w:val="3B6D56B7"/>
    <w:rsid w:val="3B892174"/>
    <w:rsid w:val="3B90654D"/>
    <w:rsid w:val="3BA256E9"/>
    <w:rsid w:val="3BA35630"/>
    <w:rsid w:val="3BA7084C"/>
    <w:rsid w:val="3C033CD5"/>
    <w:rsid w:val="3CB52AF5"/>
    <w:rsid w:val="3CC82828"/>
    <w:rsid w:val="3CCB1C92"/>
    <w:rsid w:val="3CDD2778"/>
    <w:rsid w:val="3D2518C5"/>
    <w:rsid w:val="3D6048FD"/>
    <w:rsid w:val="3D864BBD"/>
    <w:rsid w:val="3DBE736E"/>
    <w:rsid w:val="3DC12D0A"/>
    <w:rsid w:val="3DCF7004"/>
    <w:rsid w:val="3DDB1411"/>
    <w:rsid w:val="3E753011"/>
    <w:rsid w:val="3EA90890"/>
    <w:rsid w:val="3F20042C"/>
    <w:rsid w:val="3F453C1E"/>
    <w:rsid w:val="3F4C7741"/>
    <w:rsid w:val="3F4F69F8"/>
    <w:rsid w:val="3F600A8B"/>
    <w:rsid w:val="3FA07A8C"/>
    <w:rsid w:val="3FED748A"/>
    <w:rsid w:val="40210715"/>
    <w:rsid w:val="40415288"/>
    <w:rsid w:val="407C4056"/>
    <w:rsid w:val="408A5443"/>
    <w:rsid w:val="40BB1E2E"/>
    <w:rsid w:val="40E1256E"/>
    <w:rsid w:val="41872CB2"/>
    <w:rsid w:val="42376881"/>
    <w:rsid w:val="42750D5C"/>
    <w:rsid w:val="437C7482"/>
    <w:rsid w:val="43880F63"/>
    <w:rsid w:val="43CA157C"/>
    <w:rsid w:val="43E918E1"/>
    <w:rsid w:val="44155AE3"/>
    <w:rsid w:val="443D7F72"/>
    <w:rsid w:val="44764150"/>
    <w:rsid w:val="448E17C3"/>
    <w:rsid w:val="4492597B"/>
    <w:rsid w:val="44DA6A19"/>
    <w:rsid w:val="45033356"/>
    <w:rsid w:val="45F54BE3"/>
    <w:rsid w:val="461E33FF"/>
    <w:rsid w:val="4623731B"/>
    <w:rsid w:val="46335ED4"/>
    <w:rsid w:val="46D63D94"/>
    <w:rsid w:val="471F573B"/>
    <w:rsid w:val="479059EF"/>
    <w:rsid w:val="47EF3327"/>
    <w:rsid w:val="480F26E7"/>
    <w:rsid w:val="48223734"/>
    <w:rsid w:val="48594C7C"/>
    <w:rsid w:val="48C837CF"/>
    <w:rsid w:val="490B61F0"/>
    <w:rsid w:val="49344605"/>
    <w:rsid w:val="49990D4A"/>
    <w:rsid w:val="4A2B3D49"/>
    <w:rsid w:val="4A4702AB"/>
    <w:rsid w:val="4ACA56B2"/>
    <w:rsid w:val="4AEF57BE"/>
    <w:rsid w:val="4B111C8B"/>
    <w:rsid w:val="4B600CF3"/>
    <w:rsid w:val="4B944784"/>
    <w:rsid w:val="4BF316E3"/>
    <w:rsid w:val="4C67205E"/>
    <w:rsid w:val="4C83676C"/>
    <w:rsid w:val="4CA56E4F"/>
    <w:rsid w:val="4CF97C65"/>
    <w:rsid w:val="4D3E71B4"/>
    <w:rsid w:val="4DD3727F"/>
    <w:rsid w:val="4DE10F49"/>
    <w:rsid w:val="4E2E5D79"/>
    <w:rsid w:val="4E6525CD"/>
    <w:rsid w:val="4E97524A"/>
    <w:rsid w:val="4EE80B08"/>
    <w:rsid w:val="4F174207"/>
    <w:rsid w:val="4F2C6C47"/>
    <w:rsid w:val="4F4D5A86"/>
    <w:rsid w:val="4F626628"/>
    <w:rsid w:val="4FD33566"/>
    <w:rsid w:val="4FDF668F"/>
    <w:rsid w:val="4FE10CA2"/>
    <w:rsid w:val="50084A38"/>
    <w:rsid w:val="507A413A"/>
    <w:rsid w:val="507C074A"/>
    <w:rsid w:val="510838C4"/>
    <w:rsid w:val="511A45C5"/>
    <w:rsid w:val="514C537E"/>
    <w:rsid w:val="51810ACE"/>
    <w:rsid w:val="51A41A56"/>
    <w:rsid w:val="51E46C82"/>
    <w:rsid w:val="52DB4C0C"/>
    <w:rsid w:val="52E669FA"/>
    <w:rsid w:val="53222FD4"/>
    <w:rsid w:val="53452B9D"/>
    <w:rsid w:val="53D51D56"/>
    <w:rsid w:val="54161C73"/>
    <w:rsid w:val="543E054C"/>
    <w:rsid w:val="543E66F3"/>
    <w:rsid w:val="55805088"/>
    <w:rsid w:val="55986DE4"/>
    <w:rsid w:val="55B95D86"/>
    <w:rsid w:val="55D9206E"/>
    <w:rsid w:val="55EF5819"/>
    <w:rsid w:val="564E192B"/>
    <w:rsid w:val="566859AF"/>
    <w:rsid w:val="566B44F9"/>
    <w:rsid w:val="5697228A"/>
    <w:rsid w:val="56B70B57"/>
    <w:rsid w:val="56E535DA"/>
    <w:rsid w:val="56F853E0"/>
    <w:rsid w:val="57086048"/>
    <w:rsid w:val="572345A1"/>
    <w:rsid w:val="57E45BF4"/>
    <w:rsid w:val="58675193"/>
    <w:rsid w:val="58E81ECC"/>
    <w:rsid w:val="592C33B9"/>
    <w:rsid w:val="59536686"/>
    <w:rsid w:val="59747B49"/>
    <w:rsid w:val="59AD1935"/>
    <w:rsid w:val="5A5C0627"/>
    <w:rsid w:val="5A601E9A"/>
    <w:rsid w:val="5A8950E2"/>
    <w:rsid w:val="5AB1171C"/>
    <w:rsid w:val="5AC87D9B"/>
    <w:rsid w:val="5B115127"/>
    <w:rsid w:val="5B7019D4"/>
    <w:rsid w:val="5BED30BF"/>
    <w:rsid w:val="5BF5560E"/>
    <w:rsid w:val="5C07081F"/>
    <w:rsid w:val="5C4E1BEB"/>
    <w:rsid w:val="5C7D20F2"/>
    <w:rsid w:val="5CAA564F"/>
    <w:rsid w:val="5CE15514"/>
    <w:rsid w:val="5CEF64F6"/>
    <w:rsid w:val="5D505750"/>
    <w:rsid w:val="5D76237F"/>
    <w:rsid w:val="5DA71487"/>
    <w:rsid w:val="5DAF6297"/>
    <w:rsid w:val="5DD042A4"/>
    <w:rsid w:val="5DEF2CAC"/>
    <w:rsid w:val="5E441F20"/>
    <w:rsid w:val="5E702A95"/>
    <w:rsid w:val="5E927EE6"/>
    <w:rsid w:val="5F6F3658"/>
    <w:rsid w:val="5F7C7776"/>
    <w:rsid w:val="60076B58"/>
    <w:rsid w:val="606635B7"/>
    <w:rsid w:val="606E1CFF"/>
    <w:rsid w:val="60A8014F"/>
    <w:rsid w:val="613C5419"/>
    <w:rsid w:val="6148266D"/>
    <w:rsid w:val="62324A96"/>
    <w:rsid w:val="628C5A67"/>
    <w:rsid w:val="629D3C8C"/>
    <w:rsid w:val="62E00045"/>
    <w:rsid w:val="632E6E5F"/>
    <w:rsid w:val="637847E3"/>
    <w:rsid w:val="63CC1360"/>
    <w:rsid w:val="64117A5B"/>
    <w:rsid w:val="64264BB2"/>
    <w:rsid w:val="64590086"/>
    <w:rsid w:val="646B7CF6"/>
    <w:rsid w:val="647B0128"/>
    <w:rsid w:val="64B34D12"/>
    <w:rsid w:val="653308D7"/>
    <w:rsid w:val="65CC62CA"/>
    <w:rsid w:val="662F2D83"/>
    <w:rsid w:val="6636339A"/>
    <w:rsid w:val="668A6466"/>
    <w:rsid w:val="66BF00FF"/>
    <w:rsid w:val="670C27B5"/>
    <w:rsid w:val="67360FA6"/>
    <w:rsid w:val="67927308"/>
    <w:rsid w:val="67C22BC3"/>
    <w:rsid w:val="67CA414B"/>
    <w:rsid w:val="68256943"/>
    <w:rsid w:val="68774F7F"/>
    <w:rsid w:val="688D19A9"/>
    <w:rsid w:val="68C63B8D"/>
    <w:rsid w:val="69242AFE"/>
    <w:rsid w:val="6A095690"/>
    <w:rsid w:val="6A543314"/>
    <w:rsid w:val="6A7C484E"/>
    <w:rsid w:val="6AFF1E9B"/>
    <w:rsid w:val="6B5A4EA4"/>
    <w:rsid w:val="6B7617D7"/>
    <w:rsid w:val="6B7C455F"/>
    <w:rsid w:val="6B951B52"/>
    <w:rsid w:val="6BAC3191"/>
    <w:rsid w:val="6BBE13B4"/>
    <w:rsid w:val="6BD46244"/>
    <w:rsid w:val="6C141B76"/>
    <w:rsid w:val="6C294FF9"/>
    <w:rsid w:val="6C681E3D"/>
    <w:rsid w:val="6CA034B2"/>
    <w:rsid w:val="6CBE13CE"/>
    <w:rsid w:val="6CDD63AD"/>
    <w:rsid w:val="6CDF3526"/>
    <w:rsid w:val="6CF9419C"/>
    <w:rsid w:val="6D386A1A"/>
    <w:rsid w:val="6D3F443D"/>
    <w:rsid w:val="6DAA462E"/>
    <w:rsid w:val="6DAB0280"/>
    <w:rsid w:val="6DE06F3E"/>
    <w:rsid w:val="6E0C07D1"/>
    <w:rsid w:val="6E0E0133"/>
    <w:rsid w:val="6E160D96"/>
    <w:rsid w:val="6E2711F5"/>
    <w:rsid w:val="6E3D1D31"/>
    <w:rsid w:val="6F0230C8"/>
    <w:rsid w:val="6F3430C2"/>
    <w:rsid w:val="6F7B75B8"/>
    <w:rsid w:val="6F847DBE"/>
    <w:rsid w:val="6FE57CB0"/>
    <w:rsid w:val="70876749"/>
    <w:rsid w:val="70B54896"/>
    <w:rsid w:val="70DF2C02"/>
    <w:rsid w:val="71031848"/>
    <w:rsid w:val="71A022C9"/>
    <w:rsid w:val="71BE59CD"/>
    <w:rsid w:val="71DC5E53"/>
    <w:rsid w:val="71FB781B"/>
    <w:rsid w:val="722D5109"/>
    <w:rsid w:val="722F34F0"/>
    <w:rsid w:val="72A921D9"/>
    <w:rsid w:val="730A32BE"/>
    <w:rsid w:val="73345D5F"/>
    <w:rsid w:val="734B0FCB"/>
    <w:rsid w:val="737C3589"/>
    <w:rsid w:val="737D6D55"/>
    <w:rsid w:val="73896DD6"/>
    <w:rsid w:val="73C202A1"/>
    <w:rsid w:val="740A44FF"/>
    <w:rsid w:val="742525FA"/>
    <w:rsid w:val="742662D7"/>
    <w:rsid w:val="74365A66"/>
    <w:rsid w:val="746E722A"/>
    <w:rsid w:val="74B60BDD"/>
    <w:rsid w:val="74DC6AB5"/>
    <w:rsid w:val="74FC7BDE"/>
    <w:rsid w:val="756B594D"/>
    <w:rsid w:val="75BE5F9B"/>
    <w:rsid w:val="75F02D47"/>
    <w:rsid w:val="76195DD6"/>
    <w:rsid w:val="766A1C7F"/>
    <w:rsid w:val="768E4BCA"/>
    <w:rsid w:val="770110A1"/>
    <w:rsid w:val="780340CB"/>
    <w:rsid w:val="78056103"/>
    <w:rsid w:val="78177082"/>
    <w:rsid w:val="782A4ADD"/>
    <w:rsid w:val="7839178E"/>
    <w:rsid w:val="787352C6"/>
    <w:rsid w:val="78874D6A"/>
    <w:rsid w:val="78BA0F21"/>
    <w:rsid w:val="790B11E8"/>
    <w:rsid w:val="794F4242"/>
    <w:rsid w:val="79A100AE"/>
    <w:rsid w:val="79D7229C"/>
    <w:rsid w:val="7A3031E0"/>
    <w:rsid w:val="7A3C0679"/>
    <w:rsid w:val="7A8821DD"/>
    <w:rsid w:val="7AD26045"/>
    <w:rsid w:val="7B7C4096"/>
    <w:rsid w:val="7CD02F2E"/>
    <w:rsid w:val="7CF10940"/>
    <w:rsid w:val="7D464386"/>
    <w:rsid w:val="7D627399"/>
    <w:rsid w:val="7D6C7745"/>
    <w:rsid w:val="7D9D2EC1"/>
    <w:rsid w:val="7DB5094D"/>
    <w:rsid w:val="7DBE6769"/>
    <w:rsid w:val="7E9006F1"/>
    <w:rsid w:val="7EB0506A"/>
    <w:rsid w:val="7F1873C3"/>
    <w:rsid w:val="7F1F5B28"/>
    <w:rsid w:val="7F4514DB"/>
    <w:rsid w:val="7F674D76"/>
    <w:rsid w:val="7F900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autoRedefine/>
    <w:qFormat/>
    <w:uiPriority w:val="1"/>
    <w:pPr>
      <w:ind w:left="100"/>
      <w:outlineLvl w:val="0"/>
    </w:pPr>
    <w:rPr>
      <w:rFonts w:ascii="宋体" w:hAnsi="宋体" w:eastAsia="宋体"/>
      <w:sz w:val="36"/>
      <w:szCs w:val="36"/>
    </w:rPr>
  </w:style>
  <w:style w:type="paragraph" w:styleId="3">
    <w:name w:val="heading 2"/>
    <w:basedOn w:val="1"/>
    <w:next w:val="1"/>
    <w:autoRedefine/>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semiHidden/>
    <w:unhideWhenUsed/>
    <w:qFormat/>
    <w:uiPriority w:val="99"/>
  </w:style>
  <w:style w:type="paragraph" w:styleId="5">
    <w:name w:val="Body Text"/>
    <w:basedOn w:val="1"/>
    <w:autoRedefine/>
    <w:qFormat/>
    <w:uiPriority w:val="1"/>
    <w:pPr>
      <w:spacing w:before="207"/>
      <w:ind w:left="120"/>
    </w:pPr>
    <w:rPr>
      <w:rFonts w:ascii="宋体" w:hAnsi="宋体" w:eastAsia="宋体"/>
      <w:sz w:val="30"/>
      <w:szCs w:val="30"/>
    </w:rPr>
  </w:style>
  <w:style w:type="paragraph" w:styleId="6">
    <w:name w:val="Balloon Text"/>
    <w:basedOn w:val="1"/>
    <w:link w:val="22"/>
    <w:autoRedefine/>
    <w:semiHidden/>
    <w:unhideWhenUsed/>
    <w:qFormat/>
    <w:uiPriority w:val="99"/>
    <w:rPr>
      <w:sz w:val="18"/>
      <w:szCs w:val="18"/>
    </w:rPr>
  </w:style>
  <w:style w:type="paragraph" w:styleId="7">
    <w:name w:val="footer"/>
    <w:basedOn w:val="1"/>
    <w:link w:val="19"/>
    <w:autoRedefine/>
    <w:unhideWhenUsed/>
    <w:qFormat/>
    <w:uiPriority w:val="99"/>
    <w:pPr>
      <w:tabs>
        <w:tab w:val="center" w:pos="4153"/>
        <w:tab w:val="right" w:pos="8306"/>
      </w:tabs>
      <w:snapToGrid w:val="0"/>
    </w:pPr>
    <w:rPr>
      <w:sz w:val="18"/>
      <w:szCs w:val="18"/>
    </w:rPr>
  </w:style>
  <w:style w:type="paragraph" w:styleId="8">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1"/>
    <w:autoRedefine/>
    <w:semiHidden/>
    <w:unhideWhenUsed/>
    <w:qFormat/>
    <w:uiPriority w:val="99"/>
    <w:rPr>
      <w:b/>
      <w:bCs/>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8"/>
    <w:autoRedefine/>
    <w:qFormat/>
    <w:uiPriority w:val="99"/>
    <w:rPr>
      <w:sz w:val="18"/>
      <w:szCs w:val="18"/>
    </w:rPr>
  </w:style>
  <w:style w:type="character" w:customStyle="1" w:styleId="19">
    <w:name w:val="页脚 字符"/>
    <w:basedOn w:val="12"/>
    <w:link w:val="7"/>
    <w:autoRedefine/>
    <w:qFormat/>
    <w:uiPriority w:val="99"/>
    <w:rPr>
      <w:sz w:val="18"/>
      <w:szCs w:val="18"/>
    </w:rPr>
  </w:style>
  <w:style w:type="character" w:customStyle="1" w:styleId="20">
    <w:name w:val="批注文字 字符"/>
    <w:basedOn w:val="12"/>
    <w:link w:val="4"/>
    <w:autoRedefine/>
    <w:semiHidden/>
    <w:qFormat/>
    <w:uiPriority w:val="99"/>
    <w:rPr>
      <w:rFonts w:asciiTheme="minorHAnsi" w:hAnsiTheme="minorHAnsi" w:eastAsiaTheme="minorEastAsia" w:cstheme="minorBidi"/>
      <w:sz w:val="22"/>
      <w:szCs w:val="22"/>
      <w:lang w:eastAsia="en-US"/>
    </w:rPr>
  </w:style>
  <w:style w:type="character" w:customStyle="1" w:styleId="21">
    <w:name w:val="批注主题 字符"/>
    <w:basedOn w:val="20"/>
    <w:link w:val="9"/>
    <w:autoRedefine/>
    <w:semiHidden/>
    <w:qFormat/>
    <w:uiPriority w:val="99"/>
    <w:rPr>
      <w:rFonts w:asciiTheme="minorHAnsi" w:hAnsiTheme="minorHAnsi" w:eastAsiaTheme="minorEastAsia" w:cstheme="minorBidi"/>
      <w:b/>
      <w:bCs/>
      <w:sz w:val="22"/>
      <w:szCs w:val="22"/>
      <w:lang w:eastAsia="en-US"/>
    </w:rPr>
  </w:style>
  <w:style w:type="character" w:customStyle="1" w:styleId="22">
    <w:name w:val="批注框文本 字符"/>
    <w:basedOn w:val="12"/>
    <w:link w:val="6"/>
    <w:autoRedefine/>
    <w:semiHidden/>
    <w:qFormat/>
    <w:uiPriority w:val="99"/>
    <w:rPr>
      <w:rFonts w:asciiTheme="minorHAnsi" w:hAnsiTheme="minorHAnsi" w:eastAsiaTheme="minorEastAsia" w:cstheme="minorBidi"/>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4504</Words>
  <Characters>4605</Characters>
  <Lines>61</Lines>
  <Paragraphs>17</Paragraphs>
  <TotalTime>929</TotalTime>
  <ScaleCrop>false</ScaleCrop>
  <LinksUpToDate>false</LinksUpToDate>
  <CharactersWithSpaces>4643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2021-08-19T09:37:00Z</dcterms:created>
  <dc:creator>张肖军(拟稿)</dc:creator>
  <cp:lastModifiedBy>WT</cp:lastModifiedBy>
  <cp:lastPrinted>2023-03-01T23:47:00Z</cp:lastPrinted>
  <dcterms:modified xsi:type="dcterms:W3CDTF">2024-06-04T01:16:58Z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Adobe Acrobat Pro 11.0.7</vt:lpwstr>
  </property>
  <property fmtid="{D5CDD505-2E9C-101B-9397-08002B2CF9AE}" pid="4" name="LastSaved">
    <vt:filetime>2021-08-19T00:00:00Z</vt:filetime>
  </property>
  <property fmtid="{D5CDD505-2E9C-101B-9397-08002B2CF9AE}" pid="5" name="KSOProductBuildVer">
    <vt:lpwstr>2052-12.1.0.16929</vt:lpwstr>
  </property>
  <property fmtid="{D5CDD505-2E9C-101B-9397-08002B2CF9AE}" pid="6" name="ICV">
    <vt:lpwstr>6110B7415DC740C58185CD86345CBEB1</vt:lpwstr>
  </property>
  <property fmtid="{D5CDD505-2E9C-101B-9397-08002B2CF9AE}" pid="7" name="commondata">
    <vt:lpwstr>eyJoZGlkIjoiMTIwOGJlM2MwYTQ1ZjViODE0ZDU4ODIwMzJjNGNiY2IifQ==</vt:lpwstr>
  </property>
</Properties>
</file>