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574" w:lineRule="exact"/>
        <w:ind w:left="120"/>
        <w:rPr>
          <w:rFonts w:ascii="宋体" w:hAnsi="宋体" w:eastAsia="宋体" w:cs="宋体"/>
          <w:sz w:val="32"/>
          <w:szCs w:val="32"/>
          <w:lang w:eastAsia="zh-CN"/>
        </w:rPr>
      </w:pPr>
      <w:r>
        <w:rPr>
          <w:rFonts w:hint="eastAsia" w:ascii="宋体" w:hAnsi="宋体" w:eastAsia="宋体" w:cs="宋体"/>
          <w:sz w:val="32"/>
          <w:szCs w:val="32"/>
          <w:lang w:eastAsia="zh-CN"/>
        </w:rPr>
        <w:t>附件7</w:t>
      </w:r>
    </w:p>
    <w:p>
      <w:pPr>
        <w:spacing w:before="2" w:line="574" w:lineRule="exact"/>
        <w:rPr>
          <w:rFonts w:ascii="宋体" w:hAnsi="宋体" w:eastAsia="宋体" w:cs="宋体"/>
          <w:sz w:val="27"/>
          <w:szCs w:val="27"/>
          <w:lang w:eastAsia="zh-CN"/>
        </w:rPr>
      </w:pPr>
    </w:p>
    <w:p>
      <w:pPr>
        <w:spacing w:line="574" w:lineRule="exact"/>
        <w:jc w:val="center"/>
        <w:rPr>
          <w:rFonts w:ascii="宋体" w:hAnsi="宋体" w:eastAsia="宋体" w:cs="宋体"/>
          <w:sz w:val="44"/>
          <w:szCs w:val="44"/>
          <w:lang w:eastAsia="zh-CN"/>
        </w:rPr>
      </w:pPr>
      <w:r>
        <w:rPr>
          <w:rFonts w:hint="eastAsia" w:ascii="宋体" w:hAnsi="宋体" w:eastAsia="宋体" w:cs="宋体"/>
          <w:sz w:val="44"/>
          <w:szCs w:val="44"/>
          <w:lang w:eastAsia="zh-CN"/>
        </w:rPr>
        <w:t>江苏省政府专项债券项目绩效自评价报告</w:t>
      </w:r>
    </w:p>
    <w:p>
      <w:pPr>
        <w:spacing w:line="574" w:lineRule="exact"/>
        <w:jc w:val="center"/>
        <w:rPr>
          <w:rFonts w:ascii="宋体" w:hAnsi="宋体" w:eastAsia="宋体" w:cs="宋体"/>
          <w:sz w:val="30"/>
          <w:szCs w:val="30"/>
          <w:lang w:eastAsia="zh-CN"/>
        </w:rPr>
      </w:pPr>
    </w:p>
    <w:p>
      <w:pPr>
        <w:spacing w:line="574" w:lineRule="exact"/>
        <w:ind w:firstLine="602" w:firstLineChars="200"/>
        <w:jc w:val="both"/>
        <w:rPr>
          <w:rFonts w:ascii="宋体" w:hAnsi="宋体" w:eastAsia="宋体" w:cs="宋体"/>
          <w:b/>
          <w:bCs/>
          <w:sz w:val="30"/>
          <w:szCs w:val="30"/>
          <w:lang w:eastAsia="zh-CN"/>
        </w:rPr>
      </w:pPr>
      <w:r>
        <w:rPr>
          <w:rFonts w:hint="eastAsia" w:ascii="宋体" w:hAnsi="宋体" w:eastAsia="宋体" w:cs="宋体"/>
          <w:b/>
          <w:bCs/>
          <w:sz w:val="30"/>
          <w:szCs w:val="30"/>
          <w:lang w:eastAsia="zh-CN"/>
        </w:rPr>
        <w:t>一、项目情况</w:t>
      </w:r>
    </w:p>
    <w:p>
      <w:pPr>
        <w:spacing w:line="574" w:lineRule="exact"/>
        <w:ind w:firstLine="584" w:firstLineChars="200"/>
        <w:jc w:val="both"/>
        <w:rPr>
          <w:rFonts w:ascii="宋体" w:hAnsi="宋体" w:eastAsia="宋体" w:cs="宋体"/>
          <w:spacing w:val="-4"/>
          <w:sz w:val="30"/>
          <w:szCs w:val="30"/>
          <w:lang w:eastAsia="zh-CN"/>
        </w:rPr>
      </w:pPr>
      <w:r>
        <w:rPr>
          <w:rFonts w:hint="eastAsia" w:ascii="宋体" w:hAnsi="宋体" w:eastAsia="宋体" w:cs="宋体"/>
          <w:spacing w:val="-4"/>
          <w:sz w:val="30"/>
          <w:szCs w:val="30"/>
          <w:lang w:eastAsia="zh-CN"/>
        </w:rPr>
        <w:t>（一）项目概况</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为了</w:t>
      </w:r>
      <w:r>
        <w:rPr>
          <w:rFonts w:hint="eastAsia" w:ascii="宋体" w:hAnsi="宋体" w:eastAsia="宋体" w:cs="宋体"/>
          <w:sz w:val="30"/>
          <w:szCs w:val="30"/>
          <w:highlight w:val="none"/>
          <w:lang w:val="en-US" w:eastAsia="zh-CN"/>
        </w:rPr>
        <w:t>完善农村雨污水处理设施</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提升集镇污水治理水平</w:t>
      </w:r>
      <w:r>
        <w:rPr>
          <w:rFonts w:hint="eastAsia" w:ascii="宋体" w:hAnsi="宋体" w:eastAsia="宋体" w:cs="宋体"/>
          <w:sz w:val="30"/>
          <w:szCs w:val="30"/>
          <w:highlight w:val="none"/>
          <w:lang w:eastAsia="zh-CN"/>
        </w:rPr>
        <w:t>，实施</w:t>
      </w:r>
      <w:r>
        <w:rPr>
          <w:rFonts w:hint="eastAsia" w:ascii="宋体" w:hAnsi="宋体" w:eastAsia="宋体" w:cs="宋体"/>
          <w:sz w:val="30"/>
          <w:szCs w:val="30"/>
          <w:highlight w:val="none"/>
          <w:lang w:val="en-US" w:eastAsia="zh-CN"/>
        </w:rPr>
        <w:t>溧阳市南渡镇</w:t>
      </w:r>
      <w:r>
        <w:rPr>
          <w:rFonts w:hint="eastAsia" w:ascii="宋体" w:hAnsi="宋体" w:eastAsia="宋体" w:cs="宋体"/>
          <w:sz w:val="30"/>
          <w:szCs w:val="30"/>
          <w:highlight w:val="none"/>
          <w:lang w:eastAsia="zh-CN"/>
        </w:rPr>
        <w:t>集镇雨污</w:t>
      </w:r>
      <w:r>
        <w:rPr>
          <w:rFonts w:hint="eastAsia" w:ascii="宋体" w:hAnsi="宋体" w:eastAsia="宋体" w:cs="宋体"/>
          <w:sz w:val="30"/>
          <w:szCs w:val="30"/>
          <w:highlight w:val="none"/>
          <w:lang w:val="en-US" w:eastAsia="zh-CN"/>
        </w:rPr>
        <w:t>分流管网建设</w:t>
      </w:r>
      <w:r>
        <w:rPr>
          <w:rFonts w:hint="eastAsia" w:ascii="宋体" w:hAnsi="宋体" w:eastAsia="宋体" w:cs="宋体"/>
          <w:sz w:val="30"/>
          <w:szCs w:val="30"/>
          <w:highlight w:val="none"/>
          <w:lang w:eastAsia="zh-CN"/>
        </w:rPr>
        <w:t>项目。项目建设单位为溧阳市</w:t>
      </w:r>
      <w:r>
        <w:rPr>
          <w:rFonts w:hint="eastAsia" w:ascii="宋体" w:hAnsi="宋体" w:eastAsia="宋体" w:cs="宋体"/>
          <w:sz w:val="30"/>
          <w:szCs w:val="30"/>
          <w:highlight w:val="none"/>
          <w:lang w:val="en-US" w:eastAsia="zh-CN"/>
        </w:rPr>
        <w:t>南渡</w:t>
      </w:r>
      <w:r>
        <w:rPr>
          <w:rFonts w:hint="eastAsia" w:ascii="宋体" w:hAnsi="宋体" w:eastAsia="宋体" w:cs="宋体"/>
          <w:sz w:val="30"/>
          <w:szCs w:val="30"/>
          <w:highlight w:val="none"/>
          <w:lang w:eastAsia="zh-CN"/>
        </w:rPr>
        <w:t>镇人民政府。</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根据溧阳市发展和改革委员会《关于溧阳市南渡镇集镇雨污分流管网建设</w:t>
      </w:r>
      <w:r>
        <w:rPr>
          <w:rFonts w:hint="eastAsia" w:ascii="宋体" w:hAnsi="宋体" w:eastAsia="宋体" w:cs="宋体"/>
          <w:sz w:val="30"/>
          <w:szCs w:val="30"/>
          <w:highlight w:val="none"/>
          <w:lang w:val="en-US" w:eastAsia="zh-CN"/>
        </w:rPr>
        <w:t>项目</w:t>
      </w:r>
      <w:r>
        <w:rPr>
          <w:rFonts w:hint="eastAsia" w:ascii="宋体" w:hAnsi="宋体" w:eastAsia="宋体" w:cs="宋体"/>
          <w:sz w:val="30"/>
          <w:szCs w:val="30"/>
          <w:highlight w:val="none"/>
          <w:lang w:eastAsia="zh-CN"/>
        </w:rPr>
        <w:t>可行性研究报告的批复》（溧发改〔202</w:t>
      </w:r>
      <w:r>
        <w:rPr>
          <w:rFonts w:hint="eastAsia" w:ascii="宋体" w:hAnsi="宋体" w:eastAsia="宋体" w:cs="宋体"/>
          <w:sz w:val="30"/>
          <w:szCs w:val="30"/>
          <w:highlight w:val="none"/>
          <w:lang w:val="en-US" w:eastAsia="zh-CN"/>
        </w:rPr>
        <w:t>2</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303</w:t>
      </w:r>
      <w:r>
        <w:rPr>
          <w:rFonts w:hint="eastAsia" w:ascii="宋体" w:hAnsi="宋体" w:eastAsia="宋体" w:cs="宋体"/>
          <w:sz w:val="30"/>
          <w:szCs w:val="30"/>
          <w:highlight w:val="none"/>
          <w:lang w:eastAsia="zh-CN"/>
        </w:rPr>
        <w:t>号文），该项目建设地址位于溧阳市南渡镇集镇，新建雨污分流管网长</w:t>
      </w:r>
      <w:r>
        <w:rPr>
          <w:rFonts w:hint="eastAsia" w:ascii="宋体" w:hAnsi="宋体" w:eastAsia="宋体" w:cs="宋体"/>
          <w:sz w:val="30"/>
          <w:szCs w:val="30"/>
          <w:highlight w:val="none"/>
          <w:lang w:val="en-US" w:eastAsia="zh-CN"/>
        </w:rPr>
        <w:t>度</w:t>
      </w:r>
      <w:r>
        <w:rPr>
          <w:rFonts w:hint="eastAsia" w:ascii="宋体" w:hAnsi="宋体" w:eastAsia="宋体" w:cs="宋体"/>
          <w:sz w:val="30"/>
          <w:szCs w:val="30"/>
          <w:highlight w:val="none"/>
          <w:lang w:eastAsia="zh-CN"/>
        </w:rPr>
        <w:t>约</w:t>
      </w:r>
      <w:r>
        <w:rPr>
          <w:rFonts w:hint="eastAsia" w:ascii="宋体" w:hAnsi="宋体" w:eastAsia="宋体" w:cs="宋体"/>
          <w:sz w:val="30"/>
          <w:szCs w:val="30"/>
          <w:highlight w:val="none"/>
          <w:lang w:val="en-US" w:eastAsia="zh-CN"/>
        </w:rPr>
        <w:t>65</w:t>
      </w:r>
      <w:r>
        <w:rPr>
          <w:rFonts w:hint="eastAsia" w:ascii="宋体" w:hAnsi="宋体" w:eastAsia="宋体" w:cs="宋体"/>
          <w:sz w:val="30"/>
          <w:szCs w:val="30"/>
          <w:highlight w:val="none"/>
          <w:lang w:eastAsia="zh-CN"/>
        </w:rPr>
        <w:t>公里，泵站</w:t>
      </w:r>
      <w:r>
        <w:rPr>
          <w:rFonts w:hint="eastAsia" w:ascii="宋体" w:hAnsi="宋体" w:eastAsia="宋体" w:cs="宋体"/>
          <w:sz w:val="30"/>
          <w:szCs w:val="30"/>
          <w:highlight w:val="none"/>
          <w:lang w:val="en-US" w:eastAsia="zh-CN"/>
        </w:rPr>
        <w:t>13</w:t>
      </w:r>
      <w:r>
        <w:rPr>
          <w:rFonts w:hint="eastAsia" w:ascii="宋体" w:hAnsi="宋体" w:eastAsia="宋体" w:cs="宋体"/>
          <w:sz w:val="30"/>
          <w:szCs w:val="30"/>
          <w:highlight w:val="none"/>
          <w:lang w:eastAsia="zh-CN"/>
        </w:rPr>
        <w:t>座。主要建设内容包括</w:t>
      </w:r>
      <w:r>
        <w:rPr>
          <w:rFonts w:hint="eastAsia" w:ascii="宋体" w:hAnsi="宋体" w:eastAsia="宋体" w:cs="宋体"/>
          <w:sz w:val="30"/>
          <w:szCs w:val="30"/>
          <w:highlight w:val="none"/>
          <w:lang w:val="en-US" w:eastAsia="zh-CN"/>
        </w:rPr>
        <w:t>破损</w:t>
      </w:r>
      <w:r>
        <w:rPr>
          <w:rFonts w:hint="eastAsia" w:ascii="宋体" w:hAnsi="宋体" w:eastAsia="宋体" w:cs="宋体"/>
          <w:sz w:val="30"/>
          <w:szCs w:val="30"/>
          <w:highlight w:val="none"/>
          <w:lang w:eastAsia="zh-CN"/>
        </w:rPr>
        <w:t>管道更换、现状管道清疏、管道泵站升级及附属配套设施建设等。</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本项目估算总投资</w:t>
      </w:r>
      <w:r>
        <w:rPr>
          <w:rFonts w:hint="eastAsia" w:ascii="宋体" w:hAnsi="宋体" w:eastAsia="宋体" w:cs="宋体"/>
          <w:sz w:val="30"/>
          <w:szCs w:val="30"/>
          <w:highlight w:val="none"/>
          <w:lang w:val="en-US" w:eastAsia="zh-CN"/>
        </w:rPr>
        <w:t>18000</w:t>
      </w:r>
      <w:r>
        <w:rPr>
          <w:rFonts w:hint="eastAsia" w:ascii="宋体" w:hAnsi="宋体" w:eastAsia="宋体" w:cs="宋体"/>
          <w:sz w:val="30"/>
          <w:szCs w:val="30"/>
          <w:highlight w:val="none"/>
          <w:lang w:eastAsia="zh-CN"/>
        </w:rPr>
        <w:t>万元，建设单位自筹资金</w:t>
      </w:r>
      <w:r>
        <w:rPr>
          <w:rFonts w:hint="eastAsia" w:ascii="宋体" w:hAnsi="宋体" w:eastAsia="宋体" w:cs="宋体"/>
          <w:sz w:val="30"/>
          <w:szCs w:val="30"/>
          <w:highlight w:val="none"/>
          <w:lang w:val="en-US" w:eastAsia="zh-CN"/>
        </w:rPr>
        <w:t>3600</w:t>
      </w:r>
      <w:r>
        <w:rPr>
          <w:rFonts w:hint="eastAsia" w:ascii="宋体" w:hAnsi="宋体" w:eastAsia="宋体" w:cs="宋体"/>
          <w:sz w:val="30"/>
          <w:szCs w:val="30"/>
          <w:highlight w:val="none"/>
          <w:lang w:eastAsia="zh-CN"/>
        </w:rPr>
        <w:t>万元，申请地方政府专项债券资金</w:t>
      </w:r>
      <w:r>
        <w:rPr>
          <w:rFonts w:hint="eastAsia" w:ascii="宋体" w:hAnsi="宋体" w:eastAsia="宋体" w:cs="宋体"/>
          <w:sz w:val="30"/>
          <w:szCs w:val="30"/>
          <w:highlight w:val="none"/>
          <w:lang w:val="en-US" w:eastAsia="zh-CN"/>
        </w:rPr>
        <w:t>14400</w:t>
      </w:r>
      <w:r>
        <w:rPr>
          <w:rFonts w:hint="eastAsia" w:ascii="宋体" w:hAnsi="宋体" w:eastAsia="宋体" w:cs="宋体"/>
          <w:sz w:val="30"/>
          <w:szCs w:val="30"/>
          <w:highlight w:val="none"/>
          <w:lang w:eastAsia="zh-CN"/>
        </w:rPr>
        <w:t>万元，于202</w:t>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lang w:eastAsia="zh-CN"/>
        </w:rPr>
        <w:t>年发行债券</w:t>
      </w:r>
      <w:r>
        <w:rPr>
          <w:rFonts w:hint="eastAsia" w:ascii="宋体" w:hAnsi="宋体" w:eastAsia="宋体" w:cs="宋体"/>
          <w:sz w:val="30"/>
          <w:szCs w:val="30"/>
          <w:highlight w:val="none"/>
          <w:lang w:val="en-US" w:eastAsia="zh-CN"/>
        </w:rPr>
        <w:t>7000</w:t>
      </w:r>
      <w:r>
        <w:rPr>
          <w:rFonts w:hint="eastAsia" w:ascii="宋体" w:hAnsi="宋体" w:eastAsia="宋体" w:cs="宋体"/>
          <w:sz w:val="30"/>
          <w:szCs w:val="30"/>
          <w:highlight w:val="none"/>
          <w:lang w:eastAsia="zh-CN"/>
        </w:rPr>
        <w:t>万元。</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绩效目标</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1、项目绩效总体目标</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正确处理资源保护与开发的关系，加强生态环境保护和建设，坚持走可持续发展道路，并与城市建设、道路交通、环境保护等专项规划相衔接。</w:t>
      </w:r>
    </w:p>
    <w:p>
      <w:pPr>
        <w:numPr>
          <w:ilvl w:val="0"/>
          <w:numId w:val="2"/>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项目绩效阶段性目标</w:t>
      </w:r>
    </w:p>
    <w:p>
      <w:pPr>
        <w:numPr>
          <w:ilvl w:val="0"/>
          <w:numId w:val="0"/>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春晖路、金渊街、中心街完成工程量100%；旧县截流改造完成工程量50%。</w:t>
      </w:r>
    </w:p>
    <w:p>
      <w:pPr>
        <w:spacing w:line="574" w:lineRule="exact"/>
        <w:ind w:firstLine="602" w:firstLineChars="200"/>
        <w:jc w:val="both"/>
        <w:rPr>
          <w:rFonts w:ascii="宋体" w:hAnsi="宋体" w:eastAsia="宋体" w:cs="宋体"/>
          <w:b/>
          <w:bCs/>
          <w:sz w:val="30"/>
          <w:szCs w:val="30"/>
          <w:lang w:eastAsia="zh-CN"/>
        </w:rPr>
      </w:pPr>
      <w:r>
        <w:rPr>
          <w:rFonts w:hint="eastAsia" w:ascii="宋体" w:hAnsi="宋体" w:eastAsia="宋体" w:cs="宋体"/>
          <w:b/>
          <w:bCs/>
          <w:sz w:val="30"/>
          <w:szCs w:val="30"/>
          <w:lang w:eastAsia="zh-CN"/>
        </w:rPr>
        <w:t>二、评价情况</w:t>
      </w:r>
    </w:p>
    <w:p>
      <w:pPr>
        <w:spacing w:line="574" w:lineRule="exact"/>
        <w:ind w:firstLine="584" w:firstLineChars="2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（一）项目特点分析。</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1、本项目勘察、设计、施工、监理以及重要设备、材料采购的招标方式需按照《中华人民共和国招标投标法》和《必须招标的工程项目规定》（国家发展改革委第 16 号令）的相关规定执行。项目建设资金按照规定用途使用，与中标后签订的合同相符。</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2、本项目需</w:t>
      </w:r>
      <w:r>
        <w:rPr>
          <w:rFonts w:ascii="宋体" w:hAnsi="宋体" w:eastAsia="宋体" w:cs="宋体"/>
          <w:sz w:val="30"/>
          <w:szCs w:val="30"/>
          <w:lang w:eastAsia="zh-CN"/>
        </w:rPr>
        <w:t>通过在线平台如实报送政府投资项目前期、开工建设、建设进度、竣工等基本信息。加强项目档案管理，将项目审批和实施过程中的有关文件、资料存档备查。</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3、本项目需按照批复的建设规模、建设内容等进行建设。如果已批准建设规模、建设内容需要作较大调整的，按规定办理变更手续。</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4、项目将严格遵循“估算控制概算、概算控制预算、预算控制决算”的原则。投资概算原则上不得超过经批准的可行性研究报告提出的投资估算的10%。</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根据《财政部关于印发&lt;地方政府专项债券项目资金绩效管理办法》的通知&gt;》(财预(2021)61 号文)，并结合上述项目特点，本次绩效评价主要反映项目过程、产出、</w:t>
      </w:r>
      <w:r>
        <w:rPr>
          <w:rFonts w:hint="eastAsia" w:ascii="宋体" w:hAnsi="宋体" w:eastAsia="宋体" w:cs="宋体"/>
          <w:sz w:val="30"/>
          <w:szCs w:val="30"/>
          <w:lang w:val="en-US" w:eastAsia="zh-CN"/>
        </w:rPr>
        <w:t>效益</w:t>
      </w:r>
      <w:r>
        <w:rPr>
          <w:rFonts w:hint="eastAsia" w:ascii="宋体" w:hAnsi="宋体" w:eastAsia="宋体" w:cs="宋体"/>
          <w:sz w:val="30"/>
          <w:szCs w:val="30"/>
          <w:lang w:eastAsia="zh-CN"/>
        </w:rPr>
        <w:t>和满意度情况，包括以下内容：</w:t>
      </w:r>
    </w:p>
    <w:p>
      <w:pPr>
        <w:numPr>
          <w:ilvl w:val="0"/>
          <w:numId w:val="3"/>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过程</w:t>
      </w:r>
      <w:r>
        <w:rPr>
          <w:rFonts w:ascii="宋体" w:hAnsi="宋体" w:eastAsia="宋体" w:cs="宋体"/>
          <w:sz w:val="30"/>
          <w:szCs w:val="30"/>
          <w:lang w:eastAsia="zh-CN"/>
        </w:rPr>
        <w:t>方面</w:t>
      </w:r>
    </w:p>
    <w:p>
      <w:pPr>
        <w:spacing w:line="574" w:lineRule="exact"/>
        <w:ind w:firstLine="600" w:firstLineChars="200"/>
        <w:jc w:val="both"/>
        <w:rPr>
          <w:rFonts w:ascii="宋体" w:hAnsi="宋体" w:eastAsia="宋体" w:cs="宋体"/>
          <w:sz w:val="30"/>
          <w:szCs w:val="30"/>
          <w:lang w:eastAsia="zh-CN"/>
        </w:rPr>
      </w:pPr>
      <w:r>
        <w:rPr>
          <w:rFonts w:ascii="宋体" w:hAnsi="宋体" w:eastAsia="宋体" w:cs="宋体"/>
          <w:sz w:val="30"/>
          <w:szCs w:val="30"/>
          <w:lang w:eastAsia="zh-CN"/>
        </w:rPr>
        <w:t>项目符合专项债券支持领域和方向情况</w:t>
      </w:r>
      <w:r>
        <w:rPr>
          <w:rFonts w:hint="eastAsia" w:ascii="宋体" w:hAnsi="宋体" w:eastAsia="宋体" w:cs="宋体"/>
          <w:sz w:val="30"/>
          <w:szCs w:val="30"/>
          <w:lang w:eastAsia="zh-CN"/>
        </w:rPr>
        <w:t>；</w:t>
      </w:r>
      <w:r>
        <w:rPr>
          <w:rFonts w:ascii="宋体" w:hAnsi="宋体" w:eastAsia="宋体" w:cs="宋体"/>
          <w:sz w:val="30"/>
          <w:szCs w:val="30"/>
          <w:lang w:eastAsia="zh-CN"/>
        </w:rPr>
        <w:t>项目绩效目标设定情况</w:t>
      </w:r>
      <w:r>
        <w:rPr>
          <w:rFonts w:hint="eastAsia" w:ascii="宋体" w:hAnsi="宋体" w:eastAsia="宋体" w:cs="宋体"/>
          <w:sz w:val="30"/>
          <w:szCs w:val="30"/>
          <w:lang w:eastAsia="zh-CN"/>
        </w:rPr>
        <w:t>；</w:t>
      </w:r>
      <w:r>
        <w:rPr>
          <w:rFonts w:ascii="宋体" w:hAnsi="宋体" w:eastAsia="宋体" w:cs="宋体"/>
          <w:sz w:val="30"/>
          <w:szCs w:val="30"/>
          <w:lang w:eastAsia="zh-CN"/>
        </w:rPr>
        <w:t>项目申请专项债券额度与实际需要匹配情况等。</w:t>
      </w:r>
    </w:p>
    <w:p>
      <w:pPr>
        <w:numPr>
          <w:ilvl w:val="0"/>
          <w:numId w:val="3"/>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产出</w:t>
      </w:r>
      <w:r>
        <w:rPr>
          <w:rFonts w:ascii="宋体" w:hAnsi="宋体" w:eastAsia="宋体" w:cs="宋体"/>
          <w:sz w:val="30"/>
          <w:szCs w:val="30"/>
          <w:lang w:eastAsia="zh-CN"/>
        </w:rPr>
        <w:t>方面</w:t>
      </w:r>
    </w:p>
    <w:p>
      <w:pPr>
        <w:spacing w:line="574" w:lineRule="exact"/>
        <w:ind w:firstLine="600" w:firstLineChars="200"/>
        <w:jc w:val="both"/>
        <w:rPr>
          <w:rFonts w:hint="eastAsia" w:ascii="宋体" w:hAnsi="宋体" w:eastAsia="宋体" w:cs="宋体"/>
          <w:sz w:val="30"/>
          <w:szCs w:val="30"/>
          <w:lang w:eastAsia="zh-CN"/>
        </w:rPr>
      </w:pPr>
      <w:r>
        <w:rPr>
          <w:rFonts w:ascii="宋体" w:hAnsi="宋体" w:eastAsia="宋体" w:cs="宋体"/>
          <w:sz w:val="30"/>
          <w:szCs w:val="30"/>
          <w:lang w:eastAsia="zh-CN"/>
        </w:rPr>
        <w:t>债券资金按规定用途使用情况</w:t>
      </w:r>
      <w:r>
        <w:rPr>
          <w:rFonts w:hint="eastAsia" w:ascii="宋体" w:hAnsi="宋体" w:eastAsia="宋体" w:cs="宋体"/>
          <w:sz w:val="30"/>
          <w:szCs w:val="30"/>
          <w:lang w:eastAsia="zh-CN"/>
        </w:rPr>
        <w:t>；</w:t>
      </w:r>
      <w:r>
        <w:rPr>
          <w:rFonts w:ascii="宋体" w:hAnsi="宋体" w:eastAsia="宋体" w:cs="宋体"/>
          <w:sz w:val="30"/>
          <w:szCs w:val="30"/>
          <w:lang w:eastAsia="zh-CN"/>
        </w:rPr>
        <w:t>资金拨付和支出进度与项目建设进度匹配情况</w:t>
      </w:r>
      <w:r>
        <w:rPr>
          <w:rFonts w:hint="eastAsia" w:ascii="宋体" w:hAnsi="宋体" w:eastAsia="宋体" w:cs="宋体"/>
          <w:sz w:val="30"/>
          <w:szCs w:val="30"/>
          <w:lang w:eastAsia="zh-CN"/>
        </w:rPr>
        <w:t>；</w:t>
      </w:r>
      <w:r>
        <w:rPr>
          <w:rFonts w:ascii="宋体" w:hAnsi="宋体" w:eastAsia="宋体" w:cs="宋体"/>
          <w:sz w:val="30"/>
          <w:szCs w:val="30"/>
          <w:lang w:eastAsia="zh-CN"/>
        </w:rPr>
        <w:t>专项债券项目信息公开情况</w:t>
      </w:r>
      <w:r>
        <w:rPr>
          <w:rFonts w:hint="eastAsia" w:ascii="宋体" w:hAnsi="宋体" w:eastAsia="宋体" w:cs="宋体"/>
          <w:sz w:val="30"/>
          <w:szCs w:val="30"/>
          <w:lang w:eastAsia="zh-CN"/>
        </w:rPr>
        <w:t>；</w:t>
      </w:r>
      <w:r>
        <w:rPr>
          <w:rFonts w:ascii="宋体" w:hAnsi="宋体" w:eastAsia="宋体" w:cs="宋体"/>
          <w:sz w:val="30"/>
          <w:szCs w:val="30"/>
          <w:lang w:eastAsia="zh-CN"/>
        </w:rPr>
        <w:t>外部监督发现问题整改情况</w:t>
      </w:r>
      <w:r>
        <w:rPr>
          <w:rFonts w:hint="eastAsia" w:ascii="宋体" w:hAnsi="宋体" w:eastAsia="宋体" w:cs="宋体"/>
          <w:sz w:val="30"/>
          <w:szCs w:val="30"/>
          <w:lang w:eastAsia="zh-CN"/>
        </w:rPr>
        <w:t>；</w:t>
      </w:r>
      <w:r>
        <w:rPr>
          <w:rFonts w:ascii="宋体" w:hAnsi="宋体" w:eastAsia="宋体" w:cs="宋体"/>
          <w:sz w:val="30"/>
          <w:szCs w:val="30"/>
          <w:lang w:eastAsia="zh-CN"/>
        </w:rPr>
        <w:t>信息系统管理使用情况</w:t>
      </w:r>
      <w:r>
        <w:rPr>
          <w:rFonts w:hint="eastAsia" w:ascii="宋体" w:hAnsi="宋体" w:eastAsia="宋体" w:cs="宋体"/>
          <w:sz w:val="30"/>
          <w:szCs w:val="30"/>
          <w:lang w:eastAsia="zh-CN"/>
        </w:rPr>
        <w:t>等；</w:t>
      </w:r>
      <w:r>
        <w:rPr>
          <w:rFonts w:ascii="宋体" w:hAnsi="宋体" w:eastAsia="宋体" w:cs="宋体"/>
          <w:sz w:val="30"/>
          <w:szCs w:val="30"/>
          <w:lang w:eastAsia="zh-CN"/>
        </w:rPr>
        <w:t>项目建设质量达标情况</w:t>
      </w:r>
      <w:r>
        <w:rPr>
          <w:rFonts w:hint="eastAsia" w:ascii="宋体" w:hAnsi="宋体" w:eastAsia="宋体" w:cs="宋体"/>
          <w:sz w:val="30"/>
          <w:szCs w:val="30"/>
          <w:lang w:eastAsia="zh-CN"/>
        </w:rPr>
        <w:t>；</w:t>
      </w:r>
      <w:r>
        <w:rPr>
          <w:rFonts w:ascii="宋体" w:hAnsi="宋体" w:eastAsia="宋体" w:cs="宋体"/>
          <w:sz w:val="30"/>
          <w:szCs w:val="30"/>
          <w:lang w:eastAsia="zh-CN"/>
        </w:rPr>
        <w:t>项目建设进度情况</w:t>
      </w:r>
      <w:r>
        <w:rPr>
          <w:rFonts w:hint="eastAsia" w:ascii="宋体" w:hAnsi="宋体" w:eastAsia="宋体" w:cs="宋体"/>
          <w:sz w:val="30"/>
          <w:szCs w:val="30"/>
          <w:lang w:eastAsia="zh-CN"/>
        </w:rPr>
        <w:t>；</w:t>
      </w:r>
      <w:r>
        <w:rPr>
          <w:rFonts w:ascii="宋体" w:hAnsi="宋体" w:eastAsia="宋体" w:cs="宋体"/>
          <w:sz w:val="30"/>
          <w:szCs w:val="30"/>
          <w:lang w:eastAsia="zh-CN"/>
        </w:rPr>
        <w:t>项目建设成本情况</w:t>
      </w:r>
      <w:r>
        <w:rPr>
          <w:rFonts w:hint="eastAsia" w:ascii="宋体" w:hAnsi="宋体" w:eastAsia="宋体" w:cs="宋体"/>
          <w:sz w:val="30"/>
          <w:szCs w:val="30"/>
          <w:lang w:eastAsia="zh-CN"/>
        </w:rPr>
        <w:t>等。</w:t>
      </w:r>
    </w:p>
    <w:p>
      <w:pPr>
        <w:numPr>
          <w:ilvl w:val="0"/>
          <w:numId w:val="3"/>
        </w:numPr>
        <w:spacing w:line="574" w:lineRule="exact"/>
        <w:ind w:left="0" w:leftChars="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项目效益</w:t>
      </w:r>
    </w:p>
    <w:p>
      <w:pPr>
        <w:numPr>
          <w:ilvl w:val="0"/>
          <w:numId w:val="0"/>
        </w:numPr>
        <w:spacing w:line="574" w:lineRule="exact"/>
        <w:ind w:left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项目可持续影响等。  </w:t>
      </w:r>
    </w:p>
    <w:p>
      <w:pPr>
        <w:spacing w:line="574" w:lineRule="exact"/>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满意度</w:t>
      </w:r>
    </w:p>
    <w:p>
      <w:pPr>
        <w:spacing w:line="574" w:lineRule="exact"/>
        <w:ind w:firstLine="600" w:firstLineChars="200"/>
        <w:jc w:val="both"/>
        <w:rPr>
          <w:rFonts w:ascii="宋体" w:hAnsi="宋体" w:eastAsia="宋体" w:cs="宋体"/>
          <w:sz w:val="30"/>
          <w:szCs w:val="30"/>
          <w:lang w:eastAsia="zh-CN"/>
        </w:rPr>
      </w:pPr>
      <w:r>
        <w:rPr>
          <w:rFonts w:ascii="宋体" w:hAnsi="宋体" w:eastAsia="宋体" w:cs="宋体"/>
          <w:sz w:val="30"/>
          <w:szCs w:val="30"/>
          <w:lang w:eastAsia="zh-CN"/>
        </w:rPr>
        <w:t>项目满意程度等。</w:t>
      </w:r>
    </w:p>
    <w:p>
      <w:pPr>
        <w:spacing w:line="574" w:lineRule="exact"/>
        <w:ind w:firstLine="584" w:firstLineChars="2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（二）评价思路方法</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根据《财政部关于印发&lt;地方政府专项债券项目资金绩效管理办法》的通知&gt;》(财预(2021)61 号文)、《项目支出绩效评价管理办法》（财预（2020）10号文），</w:t>
      </w:r>
      <w:r>
        <w:rPr>
          <w:rFonts w:hint="eastAsia" w:ascii="宋体" w:hAnsi="宋体" w:eastAsia="宋体" w:cs="宋体"/>
          <w:spacing w:val="-4"/>
          <w:sz w:val="30"/>
          <w:szCs w:val="30"/>
          <w:lang w:eastAsia="zh-CN"/>
        </w:rPr>
        <w:t>确定专项债券项目绩效自评</w:t>
      </w:r>
      <w:r>
        <w:rPr>
          <w:rFonts w:hint="eastAsia" w:ascii="宋体" w:hAnsi="宋体" w:eastAsia="宋体" w:cs="宋体"/>
          <w:sz w:val="30"/>
          <w:szCs w:val="30"/>
          <w:lang w:eastAsia="zh-CN"/>
        </w:rPr>
        <w:t>价的原则、方法、标准等。</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1、绩效评价原则</w:t>
      </w:r>
    </w:p>
    <w:p>
      <w:p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应当遵循以下基本原则：（1）科学公正。绩效评价应当运用科学合理的方法，按照规范的程序，对项目绩效进行客观、公正的反映。（2）统筹兼顾。单位自评由项目单位自主实施，即“谁支出、谁自评”。（3）激励约束。绩效评价结果应与预算安排、政策调整、改进管理实质性挂钩，体现奖优罚劣和激励相容导向，有效要安排、低效要压减、无效要问责。（4）公开透明。绩效评价结果应依法依规公开，并自觉接受社会监督。</w:t>
      </w:r>
    </w:p>
    <w:p>
      <w:pPr>
        <w:spacing w:line="574" w:lineRule="exact"/>
        <w:ind w:left="440" w:leftChars="200" w:firstLine="300" w:firstLineChars="100"/>
        <w:jc w:val="both"/>
        <w:rPr>
          <w:rFonts w:ascii="宋体" w:hAnsi="宋体" w:eastAsia="宋体" w:cs="宋体"/>
          <w:sz w:val="30"/>
          <w:szCs w:val="30"/>
          <w:lang w:eastAsia="zh-CN"/>
        </w:rPr>
      </w:pPr>
      <w:r>
        <w:rPr>
          <w:rFonts w:hint="eastAsia" w:ascii="宋体" w:hAnsi="宋体" w:eastAsia="宋体" w:cs="宋体"/>
          <w:sz w:val="30"/>
          <w:szCs w:val="30"/>
          <w:lang w:eastAsia="zh-CN"/>
        </w:rPr>
        <w:t>2、</w:t>
      </w:r>
      <w:r>
        <w:rPr>
          <w:rFonts w:ascii="宋体" w:hAnsi="宋体" w:eastAsia="宋体" w:cs="宋体"/>
          <w:sz w:val="30"/>
          <w:szCs w:val="30"/>
          <w:lang w:eastAsia="zh-CN"/>
        </w:rPr>
        <w:t>绩效评价标准</w:t>
      </w:r>
    </w:p>
    <w:p>
      <w:pPr>
        <w:spacing w:line="574" w:lineRule="exact"/>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    绩效评价标准通常包括计划标准、行业标准等，用于对绩效指标完成情况进行比较。（1）计划标准。指以预先制定的目标、计划、预算、定额等作为评价标准。（2）行业标准。指参照国家公布的行业指标数据制定的评价标准。</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3、绩效评价方法</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采用定量与定性评价相结合的比较法，总分由各项指标得分汇总形成。</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定性指标得分按照以下方法评定：根据指标完成情况分为达成年度指标、部分达成年度指标并具有一定效果、未达成年度指标且效果较差三档，合理确定分值。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根据财预（2021）61号文，</w:t>
      </w:r>
      <w:r>
        <w:rPr>
          <w:rFonts w:ascii="宋体" w:hAnsi="宋体" w:eastAsia="宋体" w:cs="宋体"/>
          <w:sz w:val="30"/>
          <w:szCs w:val="30"/>
          <w:lang w:eastAsia="zh-CN"/>
        </w:rPr>
        <w:t>绩效评价</w:t>
      </w:r>
      <w:r>
        <w:rPr>
          <w:rFonts w:hint="eastAsia" w:ascii="宋体" w:hAnsi="宋体" w:eastAsia="宋体" w:cs="宋体"/>
          <w:sz w:val="30"/>
          <w:szCs w:val="30"/>
          <w:lang w:eastAsia="zh-CN"/>
        </w:rPr>
        <w:t>最终</w:t>
      </w:r>
      <w:r>
        <w:rPr>
          <w:rFonts w:ascii="宋体" w:hAnsi="宋体" w:eastAsia="宋体" w:cs="宋体"/>
          <w:sz w:val="30"/>
          <w:szCs w:val="30"/>
          <w:lang w:eastAsia="zh-CN"/>
        </w:rPr>
        <w:t>结果按照综合评分进行分级</w:t>
      </w:r>
      <w:r>
        <w:rPr>
          <w:rFonts w:hint="eastAsia" w:ascii="宋体" w:hAnsi="宋体" w:eastAsia="宋体" w:cs="宋体"/>
          <w:sz w:val="30"/>
          <w:szCs w:val="30"/>
          <w:lang w:eastAsia="zh-CN"/>
        </w:rPr>
        <w:t>。</w:t>
      </w:r>
      <w:r>
        <w:rPr>
          <w:rFonts w:ascii="宋体" w:hAnsi="宋体" w:eastAsia="宋体" w:cs="宋体"/>
          <w:sz w:val="30"/>
          <w:szCs w:val="30"/>
          <w:lang w:eastAsia="zh-CN"/>
        </w:rPr>
        <w:t>综合评分为90分(含)以上的为</w:t>
      </w:r>
      <w:r>
        <w:rPr>
          <w:rFonts w:hint="eastAsia" w:ascii="宋体" w:hAnsi="宋体" w:eastAsia="宋体" w:cs="宋体"/>
          <w:sz w:val="30"/>
          <w:szCs w:val="30"/>
          <w:lang w:eastAsia="zh-CN"/>
        </w:rPr>
        <w:t>“</w:t>
      </w:r>
      <w:r>
        <w:rPr>
          <w:rFonts w:ascii="宋体" w:hAnsi="宋体" w:eastAsia="宋体" w:cs="宋体"/>
          <w:sz w:val="30"/>
          <w:szCs w:val="30"/>
          <w:lang w:eastAsia="zh-CN"/>
        </w:rPr>
        <w:t>优</w:t>
      </w:r>
      <w:r>
        <w:rPr>
          <w:rFonts w:hint="eastAsia" w:ascii="宋体" w:hAnsi="宋体" w:eastAsia="宋体" w:cs="宋体"/>
          <w:sz w:val="30"/>
          <w:szCs w:val="30"/>
          <w:lang w:eastAsia="zh-CN"/>
        </w:rPr>
        <w:t>”</w:t>
      </w:r>
      <w:r>
        <w:rPr>
          <w:rFonts w:ascii="宋体" w:hAnsi="宋体" w:eastAsia="宋体" w:cs="宋体"/>
          <w:sz w:val="30"/>
          <w:szCs w:val="30"/>
          <w:lang w:eastAsia="zh-CN"/>
        </w:rPr>
        <w:t>,80分(含)至90分的为</w:t>
      </w:r>
      <w:r>
        <w:rPr>
          <w:rFonts w:hint="eastAsia" w:ascii="宋体" w:hAnsi="宋体" w:eastAsia="宋体" w:cs="宋体"/>
          <w:sz w:val="30"/>
          <w:szCs w:val="30"/>
          <w:lang w:eastAsia="zh-CN"/>
        </w:rPr>
        <w:t>“</w:t>
      </w:r>
      <w:r>
        <w:rPr>
          <w:rFonts w:ascii="宋体" w:hAnsi="宋体" w:eastAsia="宋体" w:cs="宋体"/>
          <w:sz w:val="30"/>
          <w:szCs w:val="30"/>
          <w:lang w:eastAsia="zh-CN"/>
        </w:rPr>
        <w:t>良</w:t>
      </w:r>
      <w:r>
        <w:rPr>
          <w:rFonts w:hint="eastAsia" w:ascii="宋体" w:hAnsi="宋体" w:eastAsia="宋体" w:cs="宋体"/>
          <w:sz w:val="30"/>
          <w:szCs w:val="30"/>
          <w:lang w:eastAsia="zh-CN"/>
        </w:rPr>
        <w:t>”</w:t>
      </w:r>
      <w:r>
        <w:rPr>
          <w:rFonts w:ascii="宋体" w:hAnsi="宋体" w:eastAsia="宋体" w:cs="宋体"/>
          <w:sz w:val="30"/>
          <w:szCs w:val="30"/>
          <w:lang w:eastAsia="zh-CN"/>
        </w:rPr>
        <w:t>,60分(含)至80分的为</w:t>
      </w:r>
      <w:r>
        <w:rPr>
          <w:rFonts w:hint="eastAsia" w:ascii="宋体" w:hAnsi="宋体" w:eastAsia="宋体" w:cs="宋体"/>
          <w:sz w:val="30"/>
          <w:szCs w:val="30"/>
          <w:lang w:eastAsia="zh-CN"/>
        </w:rPr>
        <w:t>“</w:t>
      </w:r>
      <w:r>
        <w:rPr>
          <w:rFonts w:ascii="宋体" w:hAnsi="宋体" w:eastAsia="宋体" w:cs="宋体"/>
          <w:sz w:val="30"/>
          <w:szCs w:val="30"/>
          <w:lang w:eastAsia="zh-CN"/>
        </w:rPr>
        <w:t>中</w:t>
      </w:r>
      <w:r>
        <w:rPr>
          <w:rFonts w:hint="eastAsia" w:ascii="宋体" w:hAnsi="宋体" w:eastAsia="宋体" w:cs="宋体"/>
          <w:sz w:val="30"/>
          <w:szCs w:val="30"/>
          <w:lang w:eastAsia="zh-CN"/>
        </w:rPr>
        <w:t>”，</w:t>
      </w:r>
      <w:r>
        <w:rPr>
          <w:rFonts w:ascii="宋体" w:hAnsi="宋体" w:eastAsia="宋体" w:cs="宋体"/>
          <w:sz w:val="30"/>
          <w:szCs w:val="30"/>
          <w:lang w:eastAsia="zh-CN"/>
        </w:rPr>
        <w:t>60分以下的为</w:t>
      </w:r>
      <w:r>
        <w:rPr>
          <w:rFonts w:hint="eastAsia" w:ascii="宋体" w:hAnsi="宋体" w:eastAsia="宋体" w:cs="宋体"/>
          <w:sz w:val="30"/>
          <w:szCs w:val="30"/>
          <w:lang w:eastAsia="zh-CN"/>
        </w:rPr>
        <w:t>“</w:t>
      </w:r>
      <w:r>
        <w:rPr>
          <w:rFonts w:ascii="宋体" w:hAnsi="宋体" w:eastAsia="宋体" w:cs="宋体"/>
          <w:sz w:val="30"/>
          <w:szCs w:val="30"/>
          <w:lang w:eastAsia="zh-CN"/>
        </w:rPr>
        <w:t>差</w:t>
      </w:r>
      <w:r>
        <w:rPr>
          <w:rFonts w:hint="eastAsia" w:ascii="宋体" w:hAnsi="宋体" w:eastAsia="宋体" w:cs="宋体"/>
          <w:sz w:val="30"/>
          <w:szCs w:val="30"/>
          <w:lang w:eastAsia="zh-CN"/>
        </w:rPr>
        <w:t xml:space="preserve">”。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4、本项目绩效评价指标权重</w:t>
      </w:r>
    </w:p>
    <w:p>
      <w:pPr>
        <w:spacing w:line="574" w:lineRule="exact"/>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根据《项目支出绩效评价管理办法》（财预（2020）10号文），自评指标的权重根据项目实际情况确定。</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据此，结合本项目进度，绩效评价指标体系从项目过程、项目产出、</w:t>
      </w:r>
      <w:r>
        <w:rPr>
          <w:rFonts w:hint="eastAsia" w:ascii="宋体" w:hAnsi="宋体" w:eastAsia="宋体" w:cs="宋体"/>
          <w:sz w:val="30"/>
          <w:szCs w:val="30"/>
          <w:lang w:val="en-US" w:eastAsia="zh-CN"/>
        </w:rPr>
        <w:t>项目效益、</w:t>
      </w:r>
      <w:r>
        <w:rPr>
          <w:rFonts w:hint="eastAsia" w:ascii="宋体" w:hAnsi="宋体" w:eastAsia="宋体" w:cs="宋体"/>
          <w:sz w:val="30"/>
          <w:szCs w:val="30"/>
          <w:lang w:eastAsia="zh-CN"/>
        </w:rPr>
        <w:t>项目满意度</w:t>
      </w: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个方面进行构建。具体如下：</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（1）项目过程：由资金管理指标、组织实施指标构成。</w:t>
      </w:r>
    </w:p>
    <w:p>
      <w:pPr>
        <w:spacing w:line="574" w:lineRule="exact"/>
        <w:ind w:firstLine="600" w:firstLineChars="200"/>
        <w:jc w:val="both"/>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（2）项目产出：由数量指标、质量指标、时效指标、成本指标构成。</w:t>
      </w:r>
    </w:p>
    <w:p>
      <w:pPr>
        <w:spacing w:line="574" w:lineRule="exact"/>
        <w:ind w:firstLine="600" w:firstLineChars="200"/>
        <w:jc w:val="both"/>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项目效益：</w:t>
      </w:r>
      <w:r>
        <w:rPr>
          <w:rFonts w:hint="eastAsia" w:ascii="宋体" w:hAnsi="宋体" w:eastAsia="宋体" w:cs="宋体"/>
          <w:sz w:val="30"/>
          <w:szCs w:val="30"/>
          <w:highlight w:val="none"/>
          <w:lang w:eastAsia="zh-CN"/>
        </w:rPr>
        <w:t>由经济效益、社会效益、生态效益指标构成。</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4</w:t>
      </w:r>
      <w:r>
        <w:rPr>
          <w:rFonts w:hint="eastAsia" w:ascii="宋体" w:hAnsi="宋体" w:eastAsia="宋体" w:cs="宋体"/>
          <w:sz w:val="30"/>
          <w:szCs w:val="30"/>
          <w:highlight w:val="none"/>
          <w:lang w:eastAsia="zh-CN"/>
        </w:rPr>
        <w:t>）项目满意度：由</w:t>
      </w:r>
      <w:r>
        <w:rPr>
          <w:rFonts w:hint="eastAsia" w:ascii="宋体" w:hAnsi="宋体" w:eastAsia="宋体" w:cs="宋体"/>
          <w:sz w:val="30"/>
          <w:szCs w:val="30"/>
          <w:highlight w:val="none"/>
          <w:lang w:val="en-US" w:eastAsia="zh-CN"/>
        </w:rPr>
        <w:t>周边居民满意度</w:t>
      </w:r>
      <w:r>
        <w:rPr>
          <w:rFonts w:hint="eastAsia" w:ascii="宋体" w:hAnsi="宋体" w:eastAsia="宋体" w:cs="宋体"/>
          <w:sz w:val="30"/>
          <w:szCs w:val="30"/>
          <w:highlight w:val="none"/>
          <w:lang w:eastAsia="zh-CN"/>
        </w:rPr>
        <w:t>指标构成。</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评价工作情况。</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1、前期准备阶段</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根据绩效评价工作要求，结合实施绩效评价项目的特点，绩效评价组通过向项目组收集相关资料，并对项目深入研究、反复研讨，针对项目的特性设计相关表格，进行统计、分析、核实，作为项目评价信息。</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2、实地考察</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为保证本次绩效评价结果的客观、公正、科学，本次绩效评价主要采用实地考察办法。评价小组进行实地考察、访问听取项目情况介绍，考察、了解项目开展、项目执行、项目管控、财务管理等情况，以获取绩效评价所需的基础资料。</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3、绩效分析阶段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工作组通过收集资料、对照查证复核、数据分析等工作程序，采用定性指标与定量指标结合、点面结合的方法，确保评价工作客观、公正。对自评表数据与佐证材料的相关数据进行了核实,对明显不合理的目标值,根据项目实际情况进行调整。进行绩效指标量化打分，经过汇总修正，得出最后评价结果。</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4、沟通反馈、报告撰写</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经过与现场项目组反复沟通、交换意见，评价组内部讨论和修改，完成自评价报告的撰写工作。</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绩效评价结论。绩效评价的评分及等级等。</w:t>
      </w:r>
    </w:p>
    <w:p>
      <w:pPr>
        <w:numPr>
          <w:ilvl w:val="0"/>
          <w:numId w:val="0"/>
        </w:numPr>
        <w:adjustRightInd w:val="0"/>
        <w:snapToGrid w:val="0"/>
        <w:spacing w:line="574" w:lineRule="exact"/>
        <w:ind w:firstLine="600" w:firstLineChars="200"/>
        <w:jc w:val="both"/>
        <w:rPr>
          <w:rFonts w:ascii="宋体" w:hAnsi="宋体" w:eastAsia="宋体" w:cs="宋体"/>
          <w:spacing w:val="-15"/>
          <w:sz w:val="30"/>
          <w:szCs w:val="30"/>
          <w:lang w:eastAsia="zh-CN"/>
        </w:rPr>
      </w:pPr>
      <w:r>
        <w:rPr>
          <w:rFonts w:hint="eastAsia" w:ascii="宋体" w:hAnsi="宋体" w:eastAsia="宋体" w:cs="宋体"/>
          <w:sz w:val="30"/>
          <w:szCs w:val="30"/>
          <w:lang w:eastAsia="zh-CN"/>
        </w:rPr>
        <w:t>1、</w:t>
      </w:r>
      <w:r>
        <w:rPr>
          <w:rFonts w:hint="eastAsia" w:ascii="宋体" w:hAnsi="宋体" w:eastAsia="宋体" w:cs="宋体"/>
          <w:spacing w:val="-15"/>
          <w:sz w:val="30"/>
          <w:szCs w:val="30"/>
          <w:lang w:eastAsia="zh-CN"/>
        </w:rPr>
        <w:t>项目过程</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项目过程指标分为资金管理、组织实施。资金管理从资金到位率、</w:t>
      </w:r>
      <w:r>
        <w:rPr>
          <w:rFonts w:hint="eastAsia" w:ascii="宋体" w:hAnsi="宋体" w:eastAsia="宋体" w:cs="宋体"/>
          <w:spacing w:val="-15"/>
          <w:sz w:val="30"/>
          <w:szCs w:val="30"/>
          <w:lang w:val="en-US" w:eastAsia="zh-CN"/>
        </w:rPr>
        <w:t>预算</w:t>
      </w:r>
      <w:r>
        <w:rPr>
          <w:rFonts w:hint="eastAsia" w:ascii="宋体" w:hAnsi="宋体" w:eastAsia="宋体" w:cs="宋体"/>
          <w:spacing w:val="-15"/>
          <w:sz w:val="30"/>
          <w:szCs w:val="30"/>
          <w:lang w:eastAsia="zh-CN"/>
        </w:rPr>
        <w:t>执行率、资金使用合规性</w:t>
      </w:r>
      <w:r>
        <w:rPr>
          <w:rFonts w:hint="eastAsia" w:ascii="宋体" w:hAnsi="宋体" w:eastAsia="宋体" w:cs="宋体"/>
          <w:spacing w:val="-15"/>
          <w:sz w:val="30"/>
          <w:szCs w:val="30"/>
          <w:lang w:val="en-US" w:eastAsia="zh-CN"/>
        </w:rPr>
        <w:t>三</w:t>
      </w:r>
      <w:r>
        <w:rPr>
          <w:rFonts w:hint="eastAsia" w:ascii="宋体" w:hAnsi="宋体" w:eastAsia="宋体" w:cs="宋体"/>
          <w:spacing w:val="-15"/>
          <w:sz w:val="30"/>
          <w:szCs w:val="30"/>
          <w:lang w:eastAsia="zh-CN"/>
        </w:rPr>
        <w:t>个方面评价资金收支和管理情况。组织实施从管理制度健全性、制度执行有效性两个方面评价工程管理制度及项目实施规范情况。</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）资金到位率</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项目于202</w:t>
      </w: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年申请地方政府专项债券资金</w:t>
      </w:r>
      <w:r>
        <w:rPr>
          <w:rFonts w:hint="eastAsia" w:ascii="宋体" w:hAnsi="宋体" w:eastAsia="宋体" w:cs="宋体"/>
          <w:spacing w:val="-15"/>
          <w:sz w:val="30"/>
          <w:szCs w:val="30"/>
          <w:lang w:val="en-US" w:eastAsia="zh-CN"/>
        </w:rPr>
        <w:t>0.7亿</w:t>
      </w:r>
      <w:r>
        <w:rPr>
          <w:rFonts w:hint="eastAsia" w:ascii="宋体" w:hAnsi="宋体" w:eastAsia="宋体" w:cs="宋体"/>
          <w:spacing w:val="-15"/>
          <w:sz w:val="30"/>
          <w:szCs w:val="30"/>
          <w:lang w:eastAsia="zh-CN"/>
        </w:rPr>
        <w:t>元，截止202</w:t>
      </w: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年12月资金实际到位</w:t>
      </w:r>
      <w:r>
        <w:rPr>
          <w:rFonts w:hint="eastAsia" w:ascii="宋体" w:hAnsi="宋体" w:eastAsia="宋体" w:cs="宋体"/>
          <w:spacing w:val="-15"/>
          <w:sz w:val="30"/>
          <w:szCs w:val="30"/>
          <w:lang w:val="en-US" w:eastAsia="zh-CN"/>
        </w:rPr>
        <w:t>0.7亿</w:t>
      </w:r>
      <w:r>
        <w:rPr>
          <w:rFonts w:hint="eastAsia" w:ascii="宋体" w:hAnsi="宋体" w:eastAsia="宋体" w:cs="宋体"/>
          <w:spacing w:val="-15"/>
          <w:sz w:val="30"/>
          <w:szCs w:val="30"/>
          <w:lang w:eastAsia="zh-CN"/>
        </w:rPr>
        <w:t>元，资金到位率</w:t>
      </w:r>
      <w:r>
        <w:rPr>
          <w:rFonts w:hint="eastAsia" w:ascii="宋体" w:hAnsi="宋体" w:eastAsia="宋体" w:cs="宋体"/>
          <w:spacing w:val="-15"/>
          <w:sz w:val="30"/>
          <w:szCs w:val="30"/>
          <w:lang w:val="en-US" w:eastAsia="zh-CN"/>
        </w:rPr>
        <w:t>100</w:t>
      </w:r>
      <w:r>
        <w:rPr>
          <w:rFonts w:hint="eastAsia" w:ascii="宋体" w:hAnsi="宋体" w:eastAsia="宋体" w:cs="宋体"/>
          <w:spacing w:val="-15"/>
          <w:sz w:val="30"/>
          <w:szCs w:val="30"/>
          <w:lang w:eastAsia="zh-CN"/>
        </w:rPr>
        <w:t>%。</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预算</w:t>
      </w:r>
      <w:r>
        <w:rPr>
          <w:rFonts w:hint="eastAsia" w:ascii="宋体" w:hAnsi="宋体" w:eastAsia="宋体" w:cs="宋体"/>
          <w:spacing w:val="-15"/>
          <w:sz w:val="30"/>
          <w:szCs w:val="30"/>
          <w:lang w:eastAsia="zh-CN"/>
        </w:rPr>
        <w:t>执行率</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截止202</w:t>
      </w: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年12月专项债券资金支出</w:t>
      </w:r>
      <w:r>
        <w:rPr>
          <w:rFonts w:hint="eastAsia" w:ascii="宋体" w:hAnsi="宋体" w:eastAsia="宋体" w:cs="宋体"/>
          <w:spacing w:val="-15"/>
          <w:sz w:val="30"/>
          <w:szCs w:val="30"/>
          <w:lang w:val="en-US" w:eastAsia="zh-CN"/>
        </w:rPr>
        <w:t>0.7亿</w:t>
      </w:r>
      <w:r>
        <w:rPr>
          <w:rFonts w:hint="eastAsia" w:ascii="宋体" w:hAnsi="宋体" w:eastAsia="宋体" w:cs="宋体"/>
          <w:spacing w:val="-15"/>
          <w:sz w:val="30"/>
          <w:szCs w:val="30"/>
          <w:lang w:eastAsia="zh-CN"/>
        </w:rPr>
        <w:t>元，</w:t>
      </w:r>
      <w:r>
        <w:rPr>
          <w:rFonts w:hint="eastAsia" w:ascii="宋体" w:hAnsi="宋体" w:eastAsia="宋体" w:cs="宋体"/>
          <w:spacing w:val="-15"/>
          <w:sz w:val="30"/>
          <w:szCs w:val="30"/>
          <w:lang w:val="en-US" w:eastAsia="zh-CN"/>
        </w:rPr>
        <w:t>预算执行率为100%</w:t>
      </w:r>
      <w:r>
        <w:rPr>
          <w:rFonts w:hint="eastAsia" w:ascii="宋体" w:hAnsi="宋体" w:eastAsia="宋体" w:cs="宋体"/>
          <w:spacing w:val="-15"/>
          <w:sz w:val="30"/>
          <w:szCs w:val="30"/>
          <w:lang w:eastAsia="zh-CN"/>
        </w:rPr>
        <w:t>。</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资金使用合规性</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项目的资金使用符合国家财经法规和财务管理制度，不存在截留、挤占、挪用、虚列支出等情况。  </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（4）</w:t>
      </w:r>
      <w:r>
        <w:rPr>
          <w:rFonts w:hint="eastAsia" w:ascii="宋体" w:hAnsi="宋体" w:eastAsia="宋体" w:cs="宋体"/>
          <w:spacing w:val="-15"/>
          <w:sz w:val="30"/>
          <w:szCs w:val="30"/>
          <w:lang w:eastAsia="zh-CN"/>
        </w:rPr>
        <w:t>管理制度健全性</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作为项目执行单位，具体负责项目实施过程中的建设管理，包括指定专人负责建设项目前期审批手续的办理；进行施工等单位的招投标遴选；组织施工单位按进度进行施工，并对工程建设质量、进度、</w:t>
      </w:r>
      <w:r>
        <w:rPr>
          <w:rFonts w:hint="eastAsia" w:ascii="宋体" w:hAnsi="宋体" w:eastAsia="宋体" w:cs="宋体"/>
          <w:spacing w:val="-15"/>
          <w:sz w:val="30"/>
          <w:szCs w:val="30"/>
          <w:lang w:val="en-US" w:eastAsia="zh-CN"/>
        </w:rPr>
        <w:t>安全、成本</w:t>
      </w:r>
      <w:r>
        <w:rPr>
          <w:rFonts w:hint="eastAsia" w:ascii="宋体" w:hAnsi="宋体" w:eastAsia="宋体" w:cs="宋体"/>
          <w:spacing w:val="-15"/>
          <w:sz w:val="30"/>
          <w:szCs w:val="30"/>
          <w:lang w:eastAsia="zh-CN"/>
        </w:rPr>
        <w:t>进行跟踪监督。</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（5）</w:t>
      </w:r>
      <w:r>
        <w:rPr>
          <w:rFonts w:hint="eastAsia" w:ascii="宋体" w:hAnsi="宋体" w:eastAsia="宋体" w:cs="宋体"/>
          <w:spacing w:val="-15"/>
          <w:sz w:val="30"/>
          <w:szCs w:val="30"/>
          <w:lang w:eastAsia="zh-CN"/>
        </w:rPr>
        <w:t>制度执行有效性</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开工前按照规定办理施工许可等手续。严格执行工程发包承包法规制度，依法开展招标活动，依法与参建单位订立书面合同，明确双方权利和义务。</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项目产出</w:t>
      </w:r>
    </w:p>
    <w:p>
      <w:pPr>
        <w:numPr>
          <w:ilvl w:val="0"/>
          <w:numId w:val="0"/>
        </w:num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）数量指标</w:t>
      </w:r>
    </w:p>
    <w:p>
      <w:pPr>
        <w:adjustRightInd w:val="0"/>
        <w:snapToGrid w:val="0"/>
        <w:spacing w:line="574" w:lineRule="exact"/>
        <w:ind w:firstLine="540" w:firstLineChars="200"/>
        <w:jc w:val="both"/>
        <w:rPr>
          <w:rFonts w:hint="eastAsia" w:ascii="宋体" w:hAnsi="宋体" w:eastAsia="宋体" w:cs="宋体"/>
          <w:spacing w:val="-15"/>
          <w:sz w:val="30"/>
          <w:szCs w:val="30"/>
          <w:highlight w:val="none"/>
          <w:lang w:val="en-US" w:eastAsia="zh-CN"/>
        </w:rPr>
      </w:pPr>
      <w:r>
        <w:rPr>
          <w:rFonts w:hint="eastAsia" w:ascii="宋体" w:hAnsi="宋体" w:eastAsia="宋体" w:cs="宋体"/>
          <w:spacing w:val="-15"/>
          <w:sz w:val="30"/>
          <w:szCs w:val="30"/>
          <w:highlight w:val="none"/>
          <w:lang w:val="en-US" w:eastAsia="zh-CN"/>
        </w:rPr>
        <w:t>春晖路雨污分流工程完成100%。</w:t>
      </w:r>
    </w:p>
    <w:p>
      <w:pPr>
        <w:adjustRightInd w:val="0"/>
        <w:snapToGrid w:val="0"/>
        <w:spacing w:line="574" w:lineRule="exact"/>
        <w:ind w:firstLine="540" w:firstLineChars="200"/>
        <w:jc w:val="both"/>
        <w:rPr>
          <w:rFonts w:hint="eastAsia" w:ascii="宋体" w:hAnsi="宋体" w:eastAsia="宋体" w:cs="宋体"/>
          <w:spacing w:val="-15"/>
          <w:sz w:val="30"/>
          <w:szCs w:val="30"/>
          <w:highlight w:val="none"/>
          <w:lang w:val="en-US" w:eastAsia="zh-CN"/>
        </w:rPr>
      </w:pPr>
      <w:r>
        <w:rPr>
          <w:rFonts w:hint="eastAsia" w:ascii="宋体" w:hAnsi="宋体" w:eastAsia="宋体" w:cs="宋体"/>
          <w:spacing w:val="-15"/>
          <w:sz w:val="30"/>
          <w:szCs w:val="30"/>
          <w:highlight w:val="none"/>
          <w:lang w:val="en-US" w:eastAsia="zh-CN"/>
        </w:rPr>
        <w:t>金渊街雨污分流工程完成100%。</w:t>
      </w:r>
    </w:p>
    <w:p>
      <w:pPr>
        <w:adjustRightInd w:val="0"/>
        <w:snapToGrid w:val="0"/>
        <w:spacing w:line="574" w:lineRule="exact"/>
        <w:ind w:firstLine="540" w:firstLineChars="200"/>
        <w:jc w:val="both"/>
        <w:rPr>
          <w:rFonts w:hint="eastAsia" w:ascii="宋体" w:hAnsi="宋体" w:eastAsia="宋体" w:cs="宋体"/>
          <w:spacing w:val="-15"/>
          <w:sz w:val="30"/>
          <w:szCs w:val="30"/>
          <w:highlight w:val="none"/>
          <w:lang w:val="en-US" w:eastAsia="zh-CN"/>
        </w:rPr>
      </w:pPr>
      <w:r>
        <w:rPr>
          <w:rFonts w:hint="eastAsia" w:ascii="宋体" w:hAnsi="宋体" w:eastAsia="宋体" w:cs="宋体"/>
          <w:spacing w:val="-15"/>
          <w:sz w:val="30"/>
          <w:szCs w:val="30"/>
          <w:highlight w:val="none"/>
          <w:lang w:val="en-US" w:eastAsia="zh-CN"/>
        </w:rPr>
        <w:t>中心街雨污分流工程完成100%。</w:t>
      </w:r>
    </w:p>
    <w:p>
      <w:pPr>
        <w:adjustRightInd w:val="0"/>
        <w:snapToGrid w:val="0"/>
        <w:spacing w:line="574" w:lineRule="exact"/>
        <w:ind w:firstLine="540" w:firstLineChars="200"/>
        <w:jc w:val="both"/>
        <w:rPr>
          <w:rFonts w:hint="default" w:ascii="宋体" w:hAnsi="宋体" w:eastAsia="宋体" w:cs="宋体"/>
          <w:spacing w:val="-15"/>
          <w:sz w:val="30"/>
          <w:szCs w:val="30"/>
          <w:highlight w:val="none"/>
          <w:lang w:val="en-US" w:eastAsia="zh-CN"/>
        </w:rPr>
      </w:pPr>
      <w:r>
        <w:rPr>
          <w:rFonts w:hint="eastAsia" w:ascii="宋体" w:hAnsi="宋体" w:eastAsia="宋体" w:cs="宋体"/>
          <w:spacing w:val="-15"/>
          <w:sz w:val="30"/>
          <w:szCs w:val="30"/>
          <w:highlight w:val="none"/>
          <w:lang w:val="en-US" w:eastAsia="zh-CN"/>
        </w:rPr>
        <w:t>旧县截留改造工程完成30%。</w:t>
      </w:r>
    </w:p>
    <w:p>
      <w:pPr>
        <w:numPr>
          <w:ilvl w:val="0"/>
          <w:numId w:val="0"/>
        </w:numPr>
        <w:adjustRightInd w:val="0"/>
        <w:snapToGrid w:val="0"/>
        <w:spacing w:line="574" w:lineRule="exact"/>
        <w:ind w:left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）质量指标</w:t>
      </w:r>
    </w:p>
    <w:p>
      <w:pPr>
        <w:numPr>
          <w:ilvl w:val="0"/>
          <w:numId w:val="0"/>
        </w:numPr>
        <w:adjustRightInd w:val="0"/>
        <w:snapToGrid w:val="0"/>
        <w:spacing w:line="574" w:lineRule="exact"/>
        <w:ind w:firstLine="540" w:firstLineChars="200"/>
        <w:jc w:val="both"/>
        <w:rPr>
          <w:rFonts w:hint="default" w:ascii="宋体" w:hAnsi="宋体" w:eastAsia="宋体" w:cs="宋体"/>
          <w:spacing w:val="-15"/>
          <w:sz w:val="30"/>
          <w:szCs w:val="30"/>
          <w:highlight w:val="none"/>
          <w:lang w:val="en-US" w:eastAsia="zh-CN"/>
        </w:rPr>
      </w:pPr>
      <w:r>
        <w:rPr>
          <w:rFonts w:hint="eastAsia" w:ascii="宋体" w:hAnsi="宋体" w:eastAsia="宋体" w:cs="宋体"/>
          <w:spacing w:val="-15"/>
          <w:sz w:val="30"/>
          <w:szCs w:val="30"/>
          <w:highlight w:val="none"/>
          <w:lang w:val="en-US" w:eastAsia="zh-CN"/>
        </w:rPr>
        <w:t>抽察管沟质量，抽察结果为合格。监理部要求报验资料与工程施工同步，以便保证项目顺利推进。检查项目部专职安全员是否到岗、在岗。督促安全员每天做好安全生产记录。</w:t>
      </w:r>
    </w:p>
    <w:p>
      <w:pPr>
        <w:adjustRightInd w:val="0"/>
        <w:snapToGrid w:val="0"/>
        <w:spacing w:line="574" w:lineRule="exact"/>
        <w:ind w:firstLine="540" w:firstLineChars="200"/>
        <w:jc w:val="both"/>
        <w:rPr>
          <w:rFonts w:ascii="宋体" w:hAnsi="宋体" w:eastAsia="宋体" w:cs="宋体"/>
          <w:spacing w:val="-15"/>
          <w:sz w:val="30"/>
          <w:szCs w:val="30"/>
          <w:highlight w:val="none"/>
          <w:lang w:eastAsia="zh-CN"/>
        </w:rPr>
      </w:pPr>
      <w:r>
        <w:rPr>
          <w:rFonts w:hint="eastAsia" w:ascii="宋体" w:hAnsi="宋体" w:eastAsia="宋体" w:cs="宋体"/>
          <w:spacing w:val="-15"/>
          <w:sz w:val="30"/>
          <w:szCs w:val="30"/>
          <w:highlight w:val="none"/>
          <w:lang w:eastAsia="zh-CN"/>
        </w:rPr>
        <w:t>（</w:t>
      </w:r>
      <w:r>
        <w:rPr>
          <w:rFonts w:hint="eastAsia" w:ascii="宋体" w:hAnsi="宋体" w:eastAsia="宋体" w:cs="宋体"/>
          <w:spacing w:val="-15"/>
          <w:sz w:val="30"/>
          <w:szCs w:val="30"/>
          <w:highlight w:val="none"/>
          <w:lang w:val="en-US" w:eastAsia="zh-CN"/>
        </w:rPr>
        <w:t>3</w:t>
      </w:r>
      <w:r>
        <w:rPr>
          <w:rFonts w:hint="eastAsia" w:ascii="宋体" w:hAnsi="宋体" w:eastAsia="宋体" w:cs="宋体"/>
          <w:spacing w:val="-15"/>
          <w:sz w:val="30"/>
          <w:szCs w:val="30"/>
          <w:highlight w:val="none"/>
          <w:lang w:eastAsia="zh-CN"/>
        </w:rPr>
        <w:t>）时效指标</w:t>
      </w:r>
    </w:p>
    <w:p>
      <w:pPr>
        <w:adjustRightInd w:val="0"/>
        <w:snapToGrid w:val="0"/>
        <w:spacing w:line="574" w:lineRule="exact"/>
        <w:ind w:firstLine="540" w:firstLineChars="200"/>
        <w:jc w:val="both"/>
        <w:rPr>
          <w:rFonts w:hint="eastAsia" w:ascii="宋体" w:hAnsi="宋体" w:eastAsia="宋体" w:cs="宋体"/>
          <w:spacing w:val="-15"/>
          <w:sz w:val="30"/>
          <w:szCs w:val="30"/>
          <w:highlight w:val="none"/>
          <w:lang w:eastAsia="zh-CN"/>
        </w:rPr>
      </w:pPr>
      <w:r>
        <w:rPr>
          <w:rFonts w:hint="eastAsia" w:ascii="宋体" w:hAnsi="宋体" w:eastAsia="宋体" w:cs="宋体"/>
          <w:spacing w:val="-15"/>
          <w:sz w:val="30"/>
          <w:szCs w:val="30"/>
          <w:highlight w:val="none"/>
          <w:lang w:eastAsia="zh-CN"/>
        </w:rPr>
        <w:t>计划开日日期202</w:t>
      </w:r>
      <w:r>
        <w:rPr>
          <w:rFonts w:hint="eastAsia" w:ascii="宋体" w:hAnsi="宋体" w:eastAsia="宋体" w:cs="宋体"/>
          <w:spacing w:val="-15"/>
          <w:sz w:val="30"/>
          <w:szCs w:val="30"/>
          <w:highlight w:val="none"/>
          <w:lang w:val="en-US" w:eastAsia="zh-CN"/>
        </w:rPr>
        <w:t>3</w:t>
      </w:r>
      <w:r>
        <w:rPr>
          <w:rFonts w:hint="eastAsia" w:ascii="宋体" w:hAnsi="宋体" w:eastAsia="宋体" w:cs="宋体"/>
          <w:spacing w:val="-15"/>
          <w:sz w:val="30"/>
          <w:szCs w:val="30"/>
          <w:highlight w:val="none"/>
          <w:lang w:eastAsia="zh-CN"/>
        </w:rPr>
        <w:t>年</w:t>
      </w:r>
      <w:r>
        <w:rPr>
          <w:rFonts w:hint="eastAsia" w:ascii="宋体" w:hAnsi="宋体" w:eastAsia="宋体" w:cs="宋体"/>
          <w:spacing w:val="-15"/>
          <w:sz w:val="30"/>
          <w:szCs w:val="30"/>
          <w:highlight w:val="none"/>
          <w:lang w:val="en-US" w:eastAsia="zh-CN"/>
        </w:rPr>
        <w:t>8</w:t>
      </w:r>
      <w:r>
        <w:rPr>
          <w:rFonts w:hint="eastAsia" w:ascii="宋体" w:hAnsi="宋体" w:eastAsia="宋体" w:cs="宋体"/>
          <w:spacing w:val="-15"/>
          <w:sz w:val="30"/>
          <w:szCs w:val="30"/>
          <w:highlight w:val="none"/>
          <w:lang w:eastAsia="zh-CN"/>
        </w:rPr>
        <w:t>月</w:t>
      </w:r>
      <w:r>
        <w:rPr>
          <w:rFonts w:hint="eastAsia" w:ascii="宋体" w:hAnsi="宋体" w:eastAsia="宋体" w:cs="宋体"/>
          <w:spacing w:val="-15"/>
          <w:sz w:val="30"/>
          <w:szCs w:val="30"/>
          <w:highlight w:val="none"/>
          <w:lang w:val="en-US" w:eastAsia="zh-CN"/>
        </w:rPr>
        <w:t>10</w:t>
      </w:r>
      <w:r>
        <w:rPr>
          <w:rFonts w:hint="eastAsia" w:ascii="宋体" w:hAnsi="宋体" w:eastAsia="宋体" w:cs="宋体"/>
          <w:spacing w:val="-15"/>
          <w:sz w:val="30"/>
          <w:szCs w:val="30"/>
          <w:highlight w:val="none"/>
          <w:lang w:eastAsia="zh-CN"/>
        </w:rPr>
        <w:t>日，监理于202</w:t>
      </w:r>
      <w:r>
        <w:rPr>
          <w:rFonts w:hint="eastAsia" w:ascii="宋体" w:hAnsi="宋体" w:eastAsia="宋体" w:cs="宋体"/>
          <w:spacing w:val="-15"/>
          <w:sz w:val="30"/>
          <w:szCs w:val="30"/>
          <w:highlight w:val="none"/>
          <w:lang w:val="en-US" w:eastAsia="zh-CN"/>
        </w:rPr>
        <w:t>3</w:t>
      </w:r>
      <w:r>
        <w:rPr>
          <w:rFonts w:hint="eastAsia" w:ascii="宋体" w:hAnsi="宋体" w:eastAsia="宋体" w:cs="宋体"/>
          <w:spacing w:val="-15"/>
          <w:sz w:val="30"/>
          <w:szCs w:val="30"/>
          <w:highlight w:val="none"/>
          <w:lang w:eastAsia="zh-CN"/>
        </w:rPr>
        <w:t>年</w:t>
      </w:r>
      <w:r>
        <w:rPr>
          <w:rFonts w:hint="eastAsia" w:ascii="宋体" w:hAnsi="宋体" w:eastAsia="宋体" w:cs="宋体"/>
          <w:spacing w:val="-15"/>
          <w:sz w:val="30"/>
          <w:szCs w:val="30"/>
          <w:highlight w:val="none"/>
          <w:lang w:val="en-US" w:eastAsia="zh-CN"/>
        </w:rPr>
        <w:t>8</w:t>
      </w:r>
      <w:r>
        <w:rPr>
          <w:rFonts w:hint="eastAsia" w:ascii="宋体" w:hAnsi="宋体" w:eastAsia="宋体" w:cs="宋体"/>
          <w:spacing w:val="-15"/>
          <w:sz w:val="30"/>
          <w:szCs w:val="30"/>
          <w:highlight w:val="none"/>
          <w:lang w:eastAsia="zh-CN"/>
        </w:rPr>
        <w:t>月</w:t>
      </w:r>
      <w:r>
        <w:rPr>
          <w:rFonts w:hint="eastAsia" w:ascii="宋体" w:hAnsi="宋体" w:eastAsia="宋体" w:cs="宋体"/>
          <w:spacing w:val="-15"/>
          <w:sz w:val="30"/>
          <w:szCs w:val="30"/>
          <w:highlight w:val="none"/>
          <w:lang w:val="en-US" w:eastAsia="zh-CN"/>
        </w:rPr>
        <w:t>10</w:t>
      </w:r>
      <w:r>
        <w:rPr>
          <w:rFonts w:hint="eastAsia" w:ascii="宋体" w:hAnsi="宋体" w:eastAsia="宋体" w:cs="宋体"/>
          <w:spacing w:val="-15"/>
          <w:sz w:val="30"/>
          <w:szCs w:val="30"/>
          <w:highlight w:val="none"/>
          <w:lang w:eastAsia="zh-CN"/>
        </w:rPr>
        <w:t>日</w:t>
      </w:r>
      <w:r>
        <w:rPr>
          <w:rFonts w:hint="eastAsia" w:ascii="宋体" w:hAnsi="宋体" w:eastAsia="宋体" w:cs="宋体"/>
          <w:spacing w:val="-15"/>
          <w:sz w:val="30"/>
          <w:szCs w:val="30"/>
          <w:highlight w:val="none"/>
          <w:lang w:val="en-US" w:eastAsia="zh-CN"/>
        </w:rPr>
        <w:t>前</w:t>
      </w:r>
      <w:r>
        <w:rPr>
          <w:rFonts w:hint="eastAsia" w:ascii="宋体" w:hAnsi="宋体" w:eastAsia="宋体" w:cs="宋体"/>
          <w:spacing w:val="-15"/>
          <w:sz w:val="30"/>
          <w:szCs w:val="30"/>
          <w:highlight w:val="none"/>
          <w:lang w:eastAsia="zh-CN"/>
        </w:rPr>
        <w:t>签发开工令，开工及时</w:t>
      </w:r>
      <w:r>
        <w:rPr>
          <w:rFonts w:hint="eastAsia" w:ascii="宋体" w:hAnsi="宋体" w:eastAsia="宋体" w:cs="宋体"/>
          <w:spacing w:val="-15"/>
          <w:sz w:val="30"/>
          <w:szCs w:val="30"/>
          <w:highlight w:val="none"/>
          <w:lang w:val="en-US" w:eastAsia="zh-CN"/>
        </w:rPr>
        <w:t>。部分完成年度预期目标并具有一定效果，实际总进度滞后于总进度计划。</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4</w:t>
      </w:r>
      <w:r>
        <w:rPr>
          <w:rFonts w:hint="eastAsia" w:ascii="宋体" w:hAnsi="宋体" w:eastAsia="宋体" w:cs="宋体"/>
          <w:spacing w:val="-15"/>
          <w:sz w:val="30"/>
          <w:szCs w:val="30"/>
          <w:lang w:eastAsia="zh-CN"/>
        </w:rPr>
        <w:t>）成本指标</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严格督促施工单位按图施工，避免缺工少料以及不必要的签证变更出现。现场签证量同建设、审计、施工方共同确认，严格按照实际施工工程量计算；尽量监督控制最终结算不超合同价，以免后期纠纷。</w:t>
      </w:r>
      <w:r>
        <w:rPr>
          <w:rFonts w:hint="eastAsia" w:ascii="宋体" w:hAnsi="宋体" w:eastAsia="宋体" w:cs="宋体"/>
          <w:spacing w:val="-15"/>
          <w:sz w:val="30"/>
          <w:szCs w:val="30"/>
          <w:lang w:eastAsia="zh-CN"/>
        </w:rPr>
        <w:t>年度计划成本未发生偏离</w:t>
      </w:r>
      <w:r>
        <w:rPr>
          <w:rFonts w:hint="eastAsia" w:ascii="宋体" w:hAnsi="宋体" w:eastAsia="宋体" w:cs="宋体"/>
          <w:spacing w:val="-15"/>
          <w:sz w:val="30"/>
          <w:szCs w:val="30"/>
          <w:lang w:val="en-US" w:eastAsia="zh-CN"/>
        </w:rPr>
        <w:t>。</w:t>
      </w:r>
    </w:p>
    <w:p>
      <w:pPr>
        <w:numPr>
          <w:ilvl w:val="0"/>
          <w:numId w:val="4"/>
        </w:num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效益</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经济效益</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经批准的可研投资估算作为成本控制的依据，</w:t>
      </w:r>
      <w:r>
        <w:rPr>
          <w:rFonts w:hint="eastAsia" w:ascii="宋体" w:hAnsi="宋体" w:eastAsia="宋体" w:cs="宋体"/>
          <w:spacing w:val="-15"/>
          <w:sz w:val="30"/>
          <w:szCs w:val="30"/>
          <w:lang w:val="en-US" w:eastAsia="zh-CN"/>
        </w:rPr>
        <w:t>不</w:t>
      </w:r>
      <w:r>
        <w:rPr>
          <w:rFonts w:hint="eastAsia" w:ascii="宋体" w:hAnsi="宋体" w:eastAsia="宋体" w:cs="宋体"/>
          <w:spacing w:val="-15"/>
          <w:sz w:val="30"/>
          <w:szCs w:val="30"/>
          <w:lang w:eastAsia="zh-CN"/>
        </w:rPr>
        <w:t>超可研总投资批复的10%。</w:t>
      </w:r>
    </w:p>
    <w:p>
      <w:pPr>
        <w:numPr>
          <w:ilvl w:val="0"/>
          <w:numId w:val="5"/>
        </w:num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社会效益 </w:t>
      </w:r>
    </w:p>
    <w:p>
      <w:pPr>
        <w:numPr>
          <w:ilvl w:val="0"/>
          <w:numId w:val="0"/>
        </w:numPr>
        <w:adjustRightInd w:val="0"/>
        <w:snapToGrid w:val="0"/>
        <w:spacing w:line="574" w:lineRule="exact"/>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     施工期间未受交通部门处罚，合理规划施工，未占用社会资源。</w:t>
      </w:r>
    </w:p>
    <w:p>
      <w:pPr>
        <w:numPr>
          <w:ilvl w:val="0"/>
          <w:numId w:val="5"/>
        </w:num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生态效益</w:t>
      </w:r>
    </w:p>
    <w:p>
      <w:pPr>
        <w:numPr>
          <w:ilvl w:val="0"/>
          <w:numId w:val="0"/>
        </w:numPr>
        <w:adjustRightInd w:val="0"/>
        <w:snapToGrid w:val="0"/>
        <w:spacing w:line="574" w:lineRule="exact"/>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     施工现场环境保护符合要求，未受环保部门处罚。</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四</w:t>
      </w:r>
      <w:r>
        <w:rPr>
          <w:rFonts w:hint="eastAsia" w:ascii="宋体" w:hAnsi="宋体" w:eastAsia="宋体" w:cs="宋体"/>
          <w:spacing w:val="-15"/>
          <w:sz w:val="30"/>
          <w:szCs w:val="30"/>
          <w:lang w:eastAsia="zh-CN"/>
        </w:rPr>
        <w:t>）满意度</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 项目全面分析所涉及区域、行业群众利益和生产生活的影响，及群众对影响的承受能力。经过充分论证，项目符合大多数人民群众的意愿，所需的人力、财力、物力在可承受的范围内并且有保障，能确保连续性和稳定性。</w:t>
      </w:r>
      <w:r>
        <w:rPr>
          <w:rFonts w:hint="eastAsia" w:ascii="宋体" w:hAnsi="宋体" w:eastAsia="宋体" w:cs="宋体"/>
          <w:spacing w:val="-15"/>
          <w:sz w:val="30"/>
          <w:szCs w:val="30"/>
          <w:lang w:val="en-US" w:eastAsia="zh-CN"/>
        </w:rPr>
        <w:t>项目建设过程中，</w:t>
      </w:r>
      <w:r>
        <w:rPr>
          <w:rFonts w:hint="eastAsia" w:ascii="宋体" w:hAnsi="宋体" w:eastAsia="宋体" w:cs="宋体"/>
          <w:spacing w:val="-15"/>
          <w:sz w:val="30"/>
          <w:szCs w:val="30"/>
          <w:lang w:eastAsia="zh-CN"/>
        </w:rPr>
        <w:t>未受</w:t>
      </w:r>
      <w:r>
        <w:rPr>
          <w:rFonts w:hint="eastAsia" w:ascii="宋体" w:hAnsi="宋体" w:eastAsia="宋体" w:cs="宋体"/>
          <w:spacing w:val="-15"/>
          <w:sz w:val="30"/>
          <w:szCs w:val="30"/>
          <w:lang w:val="en-US" w:eastAsia="zh-CN"/>
        </w:rPr>
        <w:t>到项目单位的</w:t>
      </w:r>
      <w:r>
        <w:rPr>
          <w:rFonts w:hint="eastAsia" w:ascii="宋体" w:hAnsi="宋体" w:eastAsia="宋体" w:cs="宋体"/>
          <w:spacing w:val="-15"/>
          <w:sz w:val="30"/>
          <w:szCs w:val="30"/>
          <w:lang w:eastAsia="zh-CN"/>
        </w:rPr>
        <w:t>投诉。</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经过综合评价，自评得分</w:t>
      </w:r>
      <w:r>
        <w:rPr>
          <w:rFonts w:hint="eastAsia" w:ascii="宋体" w:hAnsi="宋体" w:eastAsia="宋体" w:cs="宋体"/>
          <w:sz w:val="30"/>
          <w:szCs w:val="30"/>
          <w:highlight w:val="none"/>
          <w:lang w:eastAsia="zh-CN"/>
        </w:rPr>
        <w:t>为</w:t>
      </w:r>
      <w:r>
        <w:rPr>
          <w:rFonts w:hint="eastAsia" w:ascii="宋体" w:hAnsi="宋体" w:eastAsia="宋体" w:cs="宋体"/>
          <w:sz w:val="30"/>
          <w:szCs w:val="30"/>
          <w:highlight w:val="none"/>
          <w:lang w:val="en-US" w:eastAsia="zh-CN"/>
        </w:rPr>
        <w:t>96</w:t>
      </w:r>
      <w:r>
        <w:rPr>
          <w:rFonts w:hint="eastAsia" w:ascii="宋体" w:hAnsi="宋体" w:eastAsia="宋体" w:cs="宋体"/>
          <w:sz w:val="30"/>
          <w:szCs w:val="30"/>
          <w:highlight w:val="none"/>
          <w:lang w:eastAsia="zh-CN"/>
        </w:rPr>
        <w:t>分</w:t>
      </w:r>
      <w:r>
        <w:rPr>
          <w:rFonts w:hint="eastAsia" w:ascii="宋体" w:hAnsi="宋体" w:eastAsia="宋体" w:cs="宋体"/>
          <w:sz w:val="30"/>
          <w:szCs w:val="30"/>
          <w:lang w:eastAsia="zh-CN"/>
        </w:rPr>
        <w:t>，项目评价等级为优。</w:t>
      </w:r>
    </w:p>
    <w:p>
      <w:pPr>
        <w:numPr>
          <w:ilvl w:val="0"/>
          <w:numId w:val="6"/>
        </w:numPr>
        <w:adjustRightInd w:val="0"/>
        <w:snapToGrid w:val="0"/>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项目绩效</w:t>
      </w:r>
    </w:p>
    <w:p>
      <w:pPr>
        <w:numPr>
          <w:ilvl w:val="0"/>
          <w:numId w:val="7"/>
        </w:numPr>
        <w:adjustRightInd w:val="0"/>
        <w:snapToGrid w:val="0"/>
        <w:spacing w:line="574" w:lineRule="exact"/>
        <w:ind w:firstLine="54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投资管理</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按照项目实施进度、合同约定等向财政部门申请拨付资金。项目开工后，积极推进施工过程结算，按照时间节点或者进度节点约定付款周期，对分部质量验收通过的工程量，原则上同步计量、确认和支付工程价款。</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本项目资金的使用完全在投资估算范围内，未发生超出估算的情况，项目资金按计划使用情况良好。</w:t>
      </w:r>
    </w:p>
    <w:p>
      <w:pPr>
        <w:numPr>
          <w:ilvl w:val="0"/>
          <w:numId w:val="7"/>
        </w:numPr>
        <w:adjustRightInd w:val="0"/>
        <w:snapToGrid w:val="0"/>
        <w:spacing w:line="574" w:lineRule="exact"/>
        <w:ind w:firstLine="54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质量管理   </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建立健全工程项目质量管理体系，配备专职人员并明确其质量管理职责。法定代表人按照规定签署授权书，明确项目负责人，项目负责人按照规定签署工程质量终身责任承诺书。</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2、项目开工后，将</w:t>
      </w:r>
      <w:r>
        <w:rPr>
          <w:rFonts w:hint="eastAsia" w:ascii="宋体" w:hAnsi="宋体" w:eastAsia="宋体" w:cs="宋体"/>
          <w:spacing w:val="-15"/>
          <w:sz w:val="30"/>
          <w:szCs w:val="30"/>
          <w:lang w:eastAsia="zh-CN"/>
        </w:rPr>
        <w:t>督促勘察、设计、施工、监理等单位切实履行质量责任，按照工程质量管理标准化的要求贯彻落实工程质量安全手册制度、举牌验收制度、样板示范制度和质量责任追溯制度，严格按照合同约定加强对现场质量管理人员到岗履职情况的检查考核，及时组织处理建设过程中的质量问题。</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、原始路面标高测量、复核。</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4、</w:t>
      </w:r>
      <w:r>
        <w:rPr>
          <w:rFonts w:hint="eastAsia" w:ascii="宋体" w:hAnsi="宋体" w:eastAsia="宋体" w:cs="宋体"/>
          <w:spacing w:val="-15"/>
          <w:sz w:val="30"/>
          <w:szCs w:val="30"/>
          <w:lang w:eastAsia="zh-CN"/>
        </w:rPr>
        <w:t>各类原材料进场按检验批要求组织见证取样检测，各原材料均有质保书和试验报告，对原材料进行进场质量验收，均符合要求。</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5</w:t>
      </w:r>
      <w:r>
        <w:rPr>
          <w:rFonts w:hint="eastAsia" w:ascii="宋体" w:hAnsi="宋体" w:eastAsia="宋体" w:cs="宋体"/>
          <w:spacing w:val="-15"/>
          <w:sz w:val="30"/>
          <w:szCs w:val="30"/>
          <w:lang w:eastAsia="zh-CN"/>
        </w:rPr>
        <w:t>、路基、沟槽、管道按设计标高抽检复核。</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6、</w:t>
      </w:r>
      <w:r>
        <w:rPr>
          <w:rFonts w:hint="eastAsia" w:ascii="宋体" w:hAnsi="宋体" w:eastAsia="宋体" w:cs="宋体"/>
          <w:spacing w:val="-15"/>
          <w:sz w:val="30"/>
          <w:szCs w:val="30"/>
          <w:lang w:eastAsia="zh-CN"/>
        </w:rPr>
        <w:t>监理部严格要求施工单位按照图纸设计及规范要求施工。</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7、监理部对于现场施工进行巡视、旁站、平行检查，对于施工现场不符合规范及设计图纸施工，及时要求施工单位整改。</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8、总监理工程师安排监理人员对施工过程进行巡视和检查，隐蔽工程隐蔽过程，下道工序施工完成后难以检查的重点部位安排监理人员进行旁站。</w:t>
      </w:r>
    </w:p>
    <w:p>
      <w:pPr>
        <w:adjustRightInd w:val="0"/>
        <w:snapToGrid w:val="0"/>
        <w:spacing w:line="574" w:lineRule="exact"/>
        <w:ind w:firstLine="540" w:firstLineChars="200"/>
        <w:jc w:val="both"/>
        <w:rPr>
          <w:rFonts w:hint="default" w:ascii="宋体" w:hAnsi="宋体" w:eastAsia="宋体" w:cs="宋体"/>
          <w:spacing w:val="-15"/>
          <w:sz w:val="30"/>
          <w:szCs w:val="30"/>
          <w:highlight w:val="none"/>
          <w:lang w:val="en-US" w:eastAsia="zh-CN"/>
        </w:rPr>
      </w:pPr>
      <w:r>
        <w:rPr>
          <w:rFonts w:hint="eastAsia" w:ascii="宋体" w:hAnsi="宋体" w:eastAsia="宋体" w:cs="宋体"/>
          <w:spacing w:val="-15"/>
          <w:sz w:val="30"/>
          <w:szCs w:val="30"/>
          <w:highlight w:val="none"/>
          <w:lang w:eastAsia="zh-CN"/>
        </w:rPr>
        <w:t>（三）</w:t>
      </w:r>
      <w:r>
        <w:rPr>
          <w:rFonts w:hint="eastAsia" w:ascii="宋体" w:hAnsi="宋体" w:eastAsia="宋体" w:cs="宋体"/>
          <w:spacing w:val="-15"/>
          <w:sz w:val="30"/>
          <w:szCs w:val="30"/>
          <w:highlight w:val="none"/>
          <w:lang w:val="en-US" w:eastAsia="zh-CN"/>
        </w:rPr>
        <w:t>进度管理</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严格按照现行建设工程管理程序编制报审程序、网络图指导，组织实施各环节的工作。运用关键线路控制原则，对影响项目开工建设及后续工作开展的工作、程序实施重点控制。审批过程中，保持与审批部门的联系，主动了解审批进度，可能的情况下予以协调，以促进审批进度，缩短审批时间。</w:t>
      </w:r>
      <w:r>
        <w:rPr>
          <w:rFonts w:hint="eastAsia" w:ascii="宋体" w:hAnsi="宋体" w:eastAsia="宋体" w:cs="宋体"/>
          <w:spacing w:val="-15"/>
          <w:sz w:val="30"/>
          <w:szCs w:val="30"/>
          <w:lang w:val="en-US" w:eastAsia="zh-CN"/>
        </w:rPr>
        <w:t xml:space="preserve"> </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2、要求各参建单位严格按照节点控制进度，与进度计划对比，评估进度的完成情况，若有滞后计划的情况，向参建单位发函，要求其采取合理措施调整进度。</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（四）</w:t>
      </w:r>
      <w:r>
        <w:rPr>
          <w:rFonts w:hint="eastAsia" w:ascii="宋体" w:hAnsi="宋体" w:eastAsia="宋体" w:cs="宋体"/>
          <w:spacing w:val="-15"/>
          <w:sz w:val="30"/>
          <w:szCs w:val="30"/>
          <w:lang w:val="en-US" w:eastAsia="zh-CN"/>
        </w:rPr>
        <w:t>安全管理</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 </w:t>
      </w:r>
      <w:r>
        <w:rPr>
          <w:rFonts w:hint="eastAsia" w:ascii="宋体" w:hAnsi="宋体" w:eastAsia="宋体" w:cs="宋体"/>
          <w:spacing w:val="-15"/>
          <w:sz w:val="30"/>
          <w:szCs w:val="30"/>
          <w:lang w:val="en-US" w:eastAsia="zh-CN"/>
        </w:rPr>
        <w:t>项目开工后，</w:t>
      </w:r>
      <w:r>
        <w:rPr>
          <w:rFonts w:hint="eastAsia" w:ascii="宋体" w:hAnsi="宋体" w:eastAsia="宋体" w:cs="宋体"/>
          <w:spacing w:val="-15"/>
          <w:sz w:val="30"/>
          <w:szCs w:val="30"/>
          <w:lang w:eastAsia="zh-CN"/>
        </w:rPr>
        <w:t>开展安全巡查和检查，并对发现的问题向承包人提出相关建议，及时督促相关单位整改，跟踪整改情况；检查关键工程的工艺性试验；对质量缺陷、质量事故进行检查并提交报告；按照行业主管部门、上级有关单位的要求开展质量安全专项活动。</w:t>
      </w:r>
    </w:p>
    <w:p>
      <w:pPr>
        <w:numPr>
          <w:ilvl w:val="0"/>
          <w:numId w:val="8"/>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承包单位施工人员进入施工场地能及时带好安全帽。</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2、</w:t>
      </w:r>
      <w:r>
        <w:rPr>
          <w:rFonts w:hint="eastAsia" w:ascii="宋体" w:hAnsi="宋体" w:eastAsia="宋体" w:cs="宋体"/>
          <w:spacing w:val="-15"/>
          <w:sz w:val="30"/>
          <w:szCs w:val="30"/>
          <w:lang w:val="en-US" w:eastAsia="zh-CN"/>
        </w:rPr>
        <w:t>施工单位现场临时用电基本符合规范要求</w:t>
      </w:r>
      <w:r>
        <w:rPr>
          <w:rFonts w:hint="eastAsia" w:ascii="宋体" w:hAnsi="宋体" w:eastAsia="宋体" w:cs="宋体"/>
          <w:spacing w:val="-15"/>
          <w:sz w:val="30"/>
          <w:szCs w:val="30"/>
          <w:lang w:eastAsia="zh-CN"/>
        </w:rPr>
        <w:t>。</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3、对施工人员、材料、机械进行统筹有序安排，科学合理布控，采取“开挖一段、敷设一段、回填一段”的作业方式，尽量避免沟槽“隔夜式”的搁置情况。</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4、对现场新进人员进行“三级”安全教育及相关技术交底，配发并监督使用合格的劳动防护用品，应对施工部位或施工区域按相关要求进行有效封闭或围挡，将安全围护设施、警示灯、标识标牌等安全保障措施设置到位。</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五</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 xml:space="preserve">档案管理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1、了解部门的工作业务开展情况，掌握部门文件材料的归档范围，收集部门的文件材料；整理文件时应遵循文件的形成规律和特点，保持文件之间的有机联系。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2、认真执行平时归档制度，对部门承办工作所产生的文件材料应及时收集，进行分类登记，归档，部门资料员应自行编制档案目录。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3、移交档案时，如有电子文档应同时移交相关文件，对于具有重要保存价值的电子文件，应备份内容相同的纸质文件同时归档。对于部门业务工作中仍需使用的文件和资料，应在归档前自行制作复印件，并在本部门内妥善保管。 </w:t>
      </w:r>
    </w:p>
    <w:p>
      <w:pPr>
        <w:adjustRightInd w:val="0"/>
        <w:snapToGrid w:val="0"/>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四、存在问题</w:t>
      </w:r>
      <w:r>
        <w:rPr>
          <w:rFonts w:hint="eastAsia" w:ascii="宋体" w:hAnsi="宋体" w:eastAsia="宋体" w:cs="宋体"/>
          <w:sz w:val="30"/>
          <w:szCs w:val="30"/>
          <w:lang w:eastAsia="zh-CN"/>
        </w:rPr>
        <w:t>。</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val="en-US" w:eastAsia="zh-CN"/>
        </w:rPr>
        <w:t>顶管工程因树木、青苗没有评估不能进场，实际总进度滞后于总进度计划。</w:t>
      </w:r>
    </w:p>
    <w:p>
      <w:pPr>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五、有关建议</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今后将采取动态控制的方法，及时掌握现场进展情况，对出现进度偏差的问题适时指令施工单位进行调整，严格按照合同约定工期进行控制</w:t>
      </w:r>
      <w:bookmarkStart w:id="4" w:name="_GoBack"/>
      <w:bookmarkEnd w:id="4"/>
      <w:r>
        <w:rPr>
          <w:rFonts w:hint="eastAsia" w:ascii="宋体" w:hAnsi="宋体" w:eastAsia="宋体" w:cs="宋体"/>
          <w:sz w:val="30"/>
          <w:szCs w:val="30"/>
          <w:lang w:eastAsia="zh-CN"/>
        </w:rPr>
        <w:t>。</w:t>
      </w:r>
    </w:p>
    <w:p>
      <w:pPr>
        <w:numPr>
          <w:ilvl w:val="0"/>
          <w:numId w:val="9"/>
        </w:numPr>
        <w:spacing w:line="574" w:lineRule="exact"/>
        <w:ind w:firstLine="602" w:firstLineChars="200"/>
        <w:jc w:val="both"/>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附件</w:t>
      </w:r>
      <w:bookmarkStart w:id="0" w:name="苏财规2020-020附件-3"/>
      <w:bookmarkEnd w:id="0"/>
      <w:bookmarkStart w:id="1" w:name="附件3_项目支出绩效评价指标体系框架"/>
      <w:bookmarkEnd w:id="1"/>
      <w:bookmarkStart w:id="2" w:name="附件4_项目支出绩效评价工作方案提纲"/>
      <w:bookmarkEnd w:id="2"/>
      <w:bookmarkStart w:id="3" w:name="苏财规2020-020附件-4"/>
      <w:bookmarkEnd w:id="3"/>
    </w:p>
    <w:p>
      <w:pPr>
        <w:numPr>
          <w:ilvl w:val="0"/>
          <w:numId w:val="0"/>
        </w:numPr>
        <w:spacing w:line="574" w:lineRule="exact"/>
        <w:ind w:firstLine="600" w:firstLineChars="200"/>
        <w:jc w:val="both"/>
        <w:rPr>
          <w:rFonts w:hint="eastAsia" w:ascii="宋体" w:hAnsi="宋体" w:eastAsia="宋体" w:cs="宋体"/>
          <w:b/>
          <w:bCs/>
          <w:sz w:val="30"/>
          <w:szCs w:val="30"/>
          <w:lang w:eastAsia="zh-CN"/>
        </w:rPr>
      </w:pPr>
      <w:r>
        <w:rPr>
          <w:rFonts w:hint="eastAsia" w:ascii="宋体" w:hAnsi="宋体" w:eastAsia="宋体" w:cs="宋体"/>
          <w:sz w:val="30"/>
          <w:szCs w:val="30"/>
          <w:lang w:val="en-US" w:eastAsia="zh-CN"/>
        </w:rPr>
        <w:t>1、绩效自评价评分表</w:t>
      </w:r>
    </w:p>
    <w:sectPr>
      <w:pgSz w:w="11910" w:h="16840"/>
      <w:pgMar w:top="1984" w:right="1134" w:bottom="1984" w:left="141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E595"/>
    <w:multiLevelType w:val="singleLevel"/>
    <w:tmpl w:val="8B1EE595"/>
    <w:lvl w:ilvl="0" w:tentative="0">
      <w:start w:val="1"/>
      <w:numFmt w:val="decimal"/>
      <w:suff w:val="nothing"/>
      <w:lvlText w:val="%1、"/>
      <w:lvlJc w:val="left"/>
    </w:lvl>
  </w:abstractNum>
  <w:abstractNum w:abstractNumId="1">
    <w:nsid w:val="A7ECF659"/>
    <w:multiLevelType w:val="singleLevel"/>
    <w:tmpl w:val="A7ECF659"/>
    <w:lvl w:ilvl="0" w:tentative="0">
      <w:start w:val="6"/>
      <w:numFmt w:val="chineseCounting"/>
      <w:suff w:val="nothing"/>
      <w:lvlText w:val="%1、"/>
      <w:lvlJc w:val="left"/>
      <w:rPr>
        <w:rFonts w:hint="eastAsia"/>
      </w:rPr>
    </w:lvl>
  </w:abstractNum>
  <w:abstractNum w:abstractNumId="2">
    <w:nsid w:val="0648E829"/>
    <w:multiLevelType w:val="singleLevel"/>
    <w:tmpl w:val="0648E829"/>
    <w:lvl w:ilvl="0" w:tentative="0">
      <w:start w:val="1"/>
      <w:numFmt w:val="chineseCounting"/>
      <w:suff w:val="nothing"/>
      <w:lvlText w:val="（%1）"/>
      <w:lvlJc w:val="left"/>
      <w:rPr>
        <w:rFonts w:hint="eastAsia"/>
      </w:rPr>
    </w:lvl>
  </w:abstractNum>
  <w:abstractNum w:abstractNumId="3">
    <w:nsid w:val="16502C84"/>
    <w:multiLevelType w:val="singleLevel"/>
    <w:tmpl w:val="16502C84"/>
    <w:lvl w:ilvl="0" w:tentative="0">
      <w:start w:val="2"/>
      <w:numFmt w:val="decimal"/>
      <w:suff w:val="nothing"/>
      <w:lvlText w:val="（%1）"/>
      <w:lvlJc w:val="left"/>
    </w:lvl>
  </w:abstractNum>
  <w:abstractNum w:abstractNumId="4">
    <w:nsid w:val="5477D830"/>
    <w:multiLevelType w:val="singleLevel"/>
    <w:tmpl w:val="5477D830"/>
    <w:lvl w:ilvl="0" w:tentative="0">
      <w:start w:val="3"/>
      <w:numFmt w:val="chineseCounting"/>
      <w:suff w:val="nothing"/>
      <w:lvlText w:val="%1、"/>
      <w:lvlJc w:val="left"/>
      <w:rPr>
        <w:rFonts w:hint="eastAsia"/>
      </w:rPr>
    </w:lvl>
  </w:abstractNum>
  <w:abstractNum w:abstractNumId="5">
    <w:nsid w:val="5AFE4926"/>
    <w:multiLevelType w:val="singleLevel"/>
    <w:tmpl w:val="5AFE4926"/>
    <w:lvl w:ilvl="0" w:tentative="0">
      <w:start w:val="2"/>
      <w:numFmt w:val="chineseCounting"/>
      <w:suff w:val="nothing"/>
      <w:lvlText w:val="（%1）"/>
      <w:lvlJc w:val="left"/>
      <w:pPr>
        <w:ind w:left="-160"/>
      </w:pPr>
      <w:rPr>
        <w:rFonts w:hint="eastAsia"/>
      </w:rPr>
    </w:lvl>
  </w:abstractNum>
  <w:abstractNum w:abstractNumId="6">
    <w:nsid w:val="5FF3D8C0"/>
    <w:multiLevelType w:val="singleLevel"/>
    <w:tmpl w:val="5FF3D8C0"/>
    <w:lvl w:ilvl="0" w:tentative="0">
      <w:start w:val="1"/>
      <w:numFmt w:val="decimal"/>
      <w:suff w:val="nothing"/>
      <w:lvlText w:val="%1、"/>
      <w:lvlJc w:val="left"/>
    </w:lvl>
  </w:abstractNum>
  <w:abstractNum w:abstractNumId="7">
    <w:nsid w:val="63295104"/>
    <w:multiLevelType w:val="singleLevel"/>
    <w:tmpl w:val="63295104"/>
    <w:lvl w:ilvl="0" w:tentative="0">
      <w:start w:val="3"/>
      <w:numFmt w:val="chineseCounting"/>
      <w:suff w:val="nothing"/>
      <w:lvlText w:val="（%1）"/>
      <w:lvlJc w:val="left"/>
      <w:rPr>
        <w:rFonts w:hint="eastAsia"/>
      </w:rPr>
    </w:lvl>
  </w:abstractNum>
  <w:abstractNum w:abstractNumId="8">
    <w:nsid w:val="776AF386"/>
    <w:multiLevelType w:val="singleLevel"/>
    <w:tmpl w:val="776AF386"/>
    <w:lvl w:ilvl="0" w:tentative="0">
      <w:start w:val="2"/>
      <w:numFmt w:val="decimal"/>
      <w:suff w:val="nothing"/>
      <w:lvlText w:val="%1、"/>
      <w:lvlJc w:val="left"/>
    </w:lvl>
  </w:abstractNum>
  <w:num w:numId="1">
    <w:abstractNumId w:val="5"/>
  </w:num>
  <w:num w:numId="2">
    <w:abstractNumId w:val="8"/>
  </w:num>
  <w:num w:numId="3">
    <w:abstractNumId w:val="0"/>
  </w:num>
  <w:num w:numId="4">
    <w:abstractNumId w:val="7"/>
  </w:num>
  <w:num w:numId="5">
    <w:abstractNumId w:val="3"/>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JlM2MwYTQ1ZjViODE0ZDU4ODIwMzJjNGNiY2IifQ=="/>
  </w:docVars>
  <w:rsids>
    <w:rsidRoot w:val="006A0286"/>
    <w:rsid w:val="0000186F"/>
    <w:rsid w:val="00027842"/>
    <w:rsid w:val="000F0010"/>
    <w:rsid w:val="001076FD"/>
    <w:rsid w:val="00112A3C"/>
    <w:rsid w:val="0012335B"/>
    <w:rsid w:val="00170EBA"/>
    <w:rsid w:val="001D43CE"/>
    <w:rsid w:val="001E1F08"/>
    <w:rsid w:val="001F5652"/>
    <w:rsid w:val="002034C4"/>
    <w:rsid w:val="00223670"/>
    <w:rsid w:val="002F39B9"/>
    <w:rsid w:val="00317F35"/>
    <w:rsid w:val="003D4D43"/>
    <w:rsid w:val="003E2E24"/>
    <w:rsid w:val="00412A90"/>
    <w:rsid w:val="00427AA3"/>
    <w:rsid w:val="00453872"/>
    <w:rsid w:val="00485FCA"/>
    <w:rsid w:val="00496584"/>
    <w:rsid w:val="004B1555"/>
    <w:rsid w:val="004E3E98"/>
    <w:rsid w:val="004F2889"/>
    <w:rsid w:val="00541FD2"/>
    <w:rsid w:val="0055497B"/>
    <w:rsid w:val="0058181F"/>
    <w:rsid w:val="005C5968"/>
    <w:rsid w:val="005D094F"/>
    <w:rsid w:val="005D61F8"/>
    <w:rsid w:val="006032DC"/>
    <w:rsid w:val="006A0286"/>
    <w:rsid w:val="006F1257"/>
    <w:rsid w:val="006F2AB8"/>
    <w:rsid w:val="00705B52"/>
    <w:rsid w:val="00721281"/>
    <w:rsid w:val="0072674E"/>
    <w:rsid w:val="007416BA"/>
    <w:rsid w:val="0075652D"/>
    <w:rsid w:val="00784065"/>
    <w:rsid w:val="007A754E"/>
    <w:rsid w:val="00830C91"/>
    <w:rsid w:val="008C735A"/>
    <w:rsid w:val="008D7527"/>
    <w:rsid w:val="008F6FC9"/>
    <w:rsid w:val="00926E98"/>
    <w:rsid w:val="0095504B"/>
    <w:rsid w:val="009B2D68"/>
    <w:rsid w:val="00A14DE2"/>
    <w:rsid w:val="00A72387"/>
    <w:rsid w:val="00A736D9"/>
    <w:rsid w:val="00A863A2"/>
    <w:rsid w:val="00AA24DC"/>
    <w:rsid w:val="00AC69E3"/>
    <w:rsid w:val="00B14C89"/>
    <w:rsid w:val="00B33955"/>
    <w:rsid w:val="00BD1F01"/>
    <w:rsid w:val="00CB64D3"/>
    <w:rsid w:val="00D20830"/>
    <w:rsid w:val="00D20FCF"/>
    <w:rsid w:val="00D71C46"/>
    <w:rsid w:val="00D855DD"/>
    <w:rsid w:val="00D85F96"/>
    <w:rsid w:val="00DE067D"/>
    <w:rsid w:val="00DF053C"/>
    <w:rsid w:val="00DF24E7"/>
    <w:rsid w:val="00E1011A"/>
    <w:rsid w:val="00E70A55"/>
    <w:rsid w:val="00EB03FD"/>
    <w:rsid w:val="00EB47A6"/>
    <w:rsid w:val="00ED06B2"/>
    <w:rsid w:val="00EF65E3"/>
    <w:rsid w:val="00F161C4"/>
    <w:rsid w:val="00F35A70"/>
    <w:rsid w:val="00F4202D"/>
    <w:rsid w:val="00FB5E7E"/>
    <w:rsid w:val="00FC405A"/>
    <w:rsid w:val="00FC7877"/>
    <w:rsid w:val="010B405F"/>
    <w:rsid w:val="01522F33"/>
    <w:rsid w:val="015522D5"/>
    <w:rsid w:val="0166457E"/>
    <w:rsid w:val="018B69D4"/>
    <w:rsid w:val="01B018C4"/>
    <w:rsid w:val="01F11CD4"/>
    <w:rsid w:val="0255721E"/>
    <w:rsid w:val="025D7FF3"/>
    <w:rsid w:val="027520D7"/>
    <w:rsid w:val="02D84C98"/>
    <w:rsid w:val="02DA66D9"/>
    <w:rsid w:val="0305187A"/>
    <w:rsid w:val="031F3DF1"/>
    <w:rsid w:val="036363D4"/>
    <w:rsid w:val="0384671D"/>
    <w:rsid w:val="041004C7"/>
    <w:rsid w:val="04B9600D"/>
    <w:rsid w:val="04C603A8"/>
    <w:rsid w:val="04E11CA6"/>
    <w:rsid w:val="05031C1C"/>
    <w:rsid w:val="05261D79"/>
    <w:rsid w:val="052A6DD2"/>
    <w:rsid w:val="058A7C48"/>
    <w:rsid w:val="05F5658A"/>
    <w:rsid w:val="062F1B63"/>
    <w:rsid w:val="06513492"/>
    <w:rsid w:val="069977D8"/>
    <w:rsid w:val="06B57DFC"/>
    <w:rsid w:val="06D566AC"/>
    <w:rsid w:val="07025814"/>
    <w:rsid w:val="071D3E77"/>
    <w:rsid w:val="0730481F"/>
    <w:rsid w:val="0790350F"/>
    <w:rsid w:val="07AD40C1"/>
    <w:rsid w:val="07B014DD"/>
    <w:rsid w:val="07B84B3A"/>
    <w:rsid w:val="080B6E7B"/>
    <w:rsid w:val="087C7C39"/>
    <w:rsid w:val="08FE016C"/>
    <w:rsid w:val="09300B06"/>
    <w:rsid w:val="09572537"/>
    <w:rsid w:val="097035F9"/>
    <w:rsid w:val="098D417D"/>
    <w:rsid w:val="09FC4E8C"/>
    <w:rsid w:val="0A044DA3"/>
    <w:rsid w:val="0A195594"/>
    <w:rsid w:val="0A3269CB"/>
    <w:rsid w:val="0AFE3B88"/>
    <w:rsid w:val="0B48482D"/>
    <w:rsid w:val="0B946198"/>
    <w:rsid w:val="0BCE4606"/>
    <w:rsid w:val="0BD8363D"/>
    <w:rsid w:val="0BD90DA4"/>
    <w:rsid w:val="0BFA1390"/>
    <w:rsid w:val="0C1038AA"/>
    <w:rsid w:val="0C1D32AF"/>
    <w:rsid w:val="0C33272B"/>
    <w:rsid w:val="0C523489"/>
    <w:rsid w:val="0CAC4FB4"/>
    <w:rsid w:val="0CB437FC"/>
    <w:rsid w:val="0CCC472A"/>
    <w:rsid w:val="0CF55C46"/>
    <w:rsid w:val="0D1D75F3"/>
    <w:rsid w:val="0D3C666E"/>
    <w:rsid w:val="0DA11A57"/>
    <w:rsid w:val="0DE30198"/>
    <w:rsid w:val="0DE70FE6"/>
    <w:rsid w:val="0E3746E5"/>
    <w:rsid w:val="0E642E01"/>
    <w:rsid w:val="0F961D1A"/>
    <w:rsid w:val="0FB71F52"/>
    <w:rsid w:val="0FC86E19"/>
    <w:rsid w:val="0FCF437C"/>
    <w:rsid w:val="105253FD"/>
    <w:rsid w:val="1067432A"/>
    <w:rsid w:val="10E741A0"/>
    <w:rsid w:val="10F0290B"/>
    <w:rsid w:val="10F451BF"/>
    <w:rsid w:val="11052878"/>
    <w:rsid w:val="114F378A"/>
    <w:rsid w:val="1150463B"/>
    <w:rsid w:val="11D772FB"/>
    <w:rsid w:val="11E55436"/>
    <w:rsid w:val="125853BD"/>
    <w:rsid w:val="12D6271E"/>
    <w:rsid w:val="12F336D9"/>
    <w:rsid w:val="13966BB5"/>
    <w:rsid w:val="13D604FC"/>
    <w:rsid w:val="15763D45"/>
    <w:rsid w:val="15785BB6"/>
    <w:rsid w:val="15AE235B"/>
    <w:rsid w:val="16467BBB"/>
    <w:rsid w:val="16690AD8"/>
    <w:rsid w:val="168B1A72"/>
    <w:rsid w:val="173F2608"/>
    <w:rsid w:val="17AE3C6A"/>
    <w:rsid w:val="17C61C2C"/>
    <w:rsid w:val="17CF014A"/>
    <w:rsid w:val="180B3F4D"/>
    <w:rsid w:val="181D78FA"/>
    <w:rsid w:val="182E6FA9"/>
    <w:rsid w:val="18915FD7"/>
    <w:rsid w:val="18B84674"/>
    <w:rsid w:val="18B87EB9"/>
    <w:rsid w:val="18C930EF"/>
    <w:rsid w:val="18F70EA2"/>
    <w:rsid w:val="190212E1"/>
    <w:rsid w:val="192D38C8"/>
    <w:rsid w:val="193351D1"/>
    <w:rsid w:val="19341A2E"/>
    <w:rsid w:val="196D699A"/>
    <w:rsid w:val="19831126"/>
    <w:rsid w:val="19A36EAD"/>
    <w:rsid w:val="19D03922"/>
    <w:rsid w:val="1A183487"/>
    <w:rsid w:val="1A387A77"/>
    <w:rsid w:val="1A8B0593"/>
    <w:rsid w:val="1ABC6DFD"/>
    <w:rsid w:val="1AF128F9"/>
    <w:rsid w:val="1BE032D6"/>
    <w:rsid w:val="1BE80837"/>
    <w:rsid w:val="1C544E56"/>
    <w:rsid w:val="1C8B0CB9"/>
    <w:rsid w:val="1CAA202B"/>
    <w:rsid w:val="1CB57518"/>
    <w:rsid w:val="1CEE0B2F"/>
    <w:rsid w:val="1CF57C45"/>
    <w:rsid w:val="1D0E6F59"/>
    <w:rsid w:val="1E0E31E4"/>
    <w:rsid w:val="1E3B2713"/>
    <w:rsid w:val="1E7A1200"/>
    <w:rsid w:val="1EF0001F"/>
    <w:rsid w:val="1EF6072C"/>
    <w:rsid w:val="1F0F26C5"/>
    <w:rsid w:val="1F522628"/>
    <w:rsid w:val="20104D96"/>
    <w:rsid w:val="20AB7D17"/>
    <w:rsid w:val="20C07D28"/>
    <w:rsid w:val="20FA72D4"/>
    <w:rsid w:val="213E63B9"/>
    <w:rsid w:val="21823518"/>
    <w:rsid w:val="21A242A5"/>
    <w:rsid w:val="21A94054"/>
    <w:rsid w:val="21CA79F1"/>
    <w:rsid w:val="232E3EB1"/>
    <w:rsid w:val="23647F11"/>
    <w:rsid w:val="2381290B"/>
    <w:rsid w:val="23BA0077"/>
    <w:rsid w:val="24550140"/>
    <w:rsid w:val="24592A6F"/>
    <w:rsid w:val="248B40E3"/>
    <w:rsid w:val="251865DA"/>
    <w:rsid w:val="25B367A6"/>
    <w:rsid w:val="261C4DF6"/>
    <w:rsid w:val="26360CD5"/>
    <w:rsid w:val="26394025"/>
    <w:rsid w:val="264C1327"/>
    <w:rsid w:val="265E2CFF"/>
    <w:rsid w:val="26737D1F"/>
    <w:rsid w:val="26B741BD"/>
    <w:rsid w:val="270B77EA"/>
    <w:rsid w:val="27BF3329"/>
    <w:rsid w:val="27D112AE"/>
    <w:rsid w:val="27DA63B5"/>
    <w:rsid w:val="28333130"/>
    <w:rsid w:val="288363F1"/>
    <w:rsid w:val="28DE70CF"/>
    <w:rsid w:val="290D492E"/>
    <w:rsid w:val="293731F3"/>
    <w:rsid w:val="294A7316"/>
    <w:rsid w:val="294E2E79"/>
    <w:rsid w:val="294F7F37"/>
    <w:rsid w:val="2A083A69"/>
    <w:rsid w:val="2A171AE2"/>
    <w:rsid w:val="2A4C443E"/>
    <w:rsid w:val="2A8635DD"/>
    <w:rsid w:val="2A8704DB"/>
    <w:rsid w:val="2B007153"/>
    <w:rsid w:val="2B4E46A4"/>
    <w:rsid w:val="2B57010A"/>
    <w:rsid w:val="2BFC0EDF"/>
    <w:rsid w:val="2C0E033F"/>
    <w:rsid w:val="2C13380B"/>
    <w:rsid w:val="2C5B7427"/>
    <w:rsid w:val="2CAB0320"/>
    <w:rsid w:val="2CB0263E"/>
    <w:rsid w:val="2CB8441D"/>
    <w:rsid w:val="2D13578C"/>
    <w:rsid w:val="2D3C675D"/>
    <w:rsid w:val="2D960E01"/>
    <w:rsid w:val="2ECE4A89"/>
    <w:rsid w:val="2EEB3ECB"/>
    <w:rsid w:val="2F367505"/>
    <w:rsid w:val="2F4B41D2"/>
    <w:rsid w:val="2F893638"/>
    <w:rsid w:val="2F9A5FCC"/>
    <w:rsid w:val="2FBC5F92"/>
    <w:rsid w:val="2FD55F51"/>
    <w:rsid w:val="2FDE0777"/>
    <w:rsid w:val="2FE104EC"/>
    <w:rsid w:val="30350655"/>
    <w:rsid w:val="306B50FC"/>
    <w:rsid w:val="30730E37"/>
    <w:rsid w:val="3083606D"/>
    <w:rsid w:val="309161AB"/>
    <w:rsid w:val="30A85ED8"/>
    <w:rsid w:val="30EB524A"/>
    <w:rsid w:val="30F11747"/>
    <w:rsid w:val="311D7B96"/>
    <w:rsid w:val="3122424F"/>
    <w:rsid w:val="3168581A"/>
    <w:rsid w:val="317B29B7"/>
    <w:rsid w:val="3223715A"/>
    <w:rsid w:val="32454D73"/>
    <w:rsid w:val="32687454"/>
    <w:rsid w:val="326B739A"/>
    <w:rsid w:val="32D3237F"/>
    <w:rsid w:val="32FA49E9"/>
    <w:rsid w:val="331217FF"/>
    <w:rsid w:val="333779CC"/>
    <w:rsid w:val="3338475E"/>
    <w:rsid w:val="33804D41"/>
    <w:rsid w:val="33A31D51"/>
    <w:rsid w:val="33EA5D0B"/>
    <w:rsid w:val="33F00D0E"/>
    <w:rsid w:val="341359E2"/>
    <w:rsid w:val="34214C71"/>
    <w:rsid w:val="348A2CD0"/>
    <w:rsid w:val="353D61D5"/>
    <w:rsid w:val="35762E24"/>
    <w:rsid w:val="35D51CC1"/>
    <w:rsid w:val="35FF414A"/>
    <w:rsid w:val="3698058A"/>
    <w:rsid w:val="369D19AA"/>
    <w:rsid w:val="371E7849"/>
    <w:rsid w:val="37206361"/>
    <w:rsid w:val="372D1FC1"/>
    <w:rsid w:val="37930D8D"/>
    <w:rsid w:val="37C73E07"/>
    <w:rsid w:val="37FD5054"/>
    <w:rsid w:val="38055F79"/>
    <w:rsid w:val="38BB18EB"/>
    <w:rsid w:val="38E452E6"/>
    <w:rsid w:val="394915ED"/>
    <w:rsid w:val="395635DF"/>
    <w:rsid w:val="39847CE6"/>
    <w:rsid w:val="39B01F36"/>
    <w:rsid w:val="3A0D48E4"/>
    <w:rsid w:val="3A634545"/>
    <w:rsid w:val="3A667F7C"/>
    <w:rsid w:val="3A673119"/>
    <w:rsid w:val="3A7379ED"/>
    <w:rsid w:val="3A845141"/>
    <w:rsid w:val="3A865F28"/>
    <w:rsid w:val="3AAF547F"/>
    <w:rsid w:val="3AEF7F72"/>
    <w:rsid w:val="3B5902C2"/>
    <w:rsid w:val="3B6D56B7"/>
    <w:rsid w:val="3B9A67AF"/>
    <w:rsid w:val="3BA256E9"/>
    <w:rsid w:val="3BA35630"/>
    <w:rsid w:val="3BA7084C"/>
    <w:rsid w:val="3C033CD5"/>
    <w:rsid w:val="3CB52AF5"/>
    <w:rsid w:val="3CC82828"/>
    <w:rsid w:val="3CCB1745"/>
    <w:rsid w:val="3CCB1C92"/>
    <w:rsid w:val="3CDD2778"/>
    <w:rsid w:val="3D2518C5"/>
    <w:rsid w:val="3D6048FD"/>
    <w:rsid w:val="3D864BBD"/>
    <w:rsid w:val="3DBE736E"/>
    <w:rsid w:val="3DC12D0A"/>
    <w:rsid w:val="3DCF7004"/>
    <w:rsid w:val="3DDB1411"/>
    <w:rsid w:val="3E753011"/>
    <w:rsid w:val="3EA90890"/>
    <w:rsid w:val="3F1955BD"/>
    <w:rsid w:val="3F20042C"/>
    <w:rsid w:val="3F453C1E"/>
    <w:rsid w:val="3F4C7741"/>
    <w:rsid w:val="3F4F69F8"/>
    <w:rsid w:val="3F600A8B"/>
    <w:rsid w:val="3F7253E5"/>
    <w:rsid w:val="3FA07A8C"/>
    <w:rsid w:val="3FED748A"/>
    <w:rsid w:val="40210715"/>
    <w:rsid w:val="40415288"/>
    <w:rsid w:val="408A5443"/>
    <w:rsid w:val="40BB1E2E"/>
    <w:rsid w:val="40E1256E"/>
    <w:rsid w:val="42376881"/>
    <w:rsid w:val="42750D5C"/>
    <w:rsid w:val="437C7482"/>
    <w:rsid w:val="43880F63"/>
    <w:rsid w:val="43C64CE7"/>
    <w:rsid w:val="43CA157C"/>
    <w:rsid w:val="43E918E1"/>
    <w:rsid w:val="44155AE3"/>
    <w:rsid w:val="443D7F72"/>
    <w:rsid w:val="44764150"/>
    <w:rsid w:val="4492597B"/>
    <w:rsid w:val="461E33FF"/>
    <w:rsid w:val="4623731B"/>
    <w:rsid w:val="46335ED4"/>
    <w:rsid w:val="46CA624B"/>
    <w:rsid w:val="46D63D94"/>
    <w:rsid w:val="47005468"/>
    <w:rsid w:val="471F573B"/>
    <w:rsid w:val="479059EF"/>
    <w:rsid w:val="47AD0F98"/>
    <w:rsid w:val="47EF3327"/>
    <w:rsid w:val="48223734"/>
    <w:rsid w:val="48594C7C"/>
    <w:rsid w:val="48C837CF"/>
    <w:rsid w:val="49021329"/>
    <w:rsid w:val="49344605"/>
    <w:rsid w:val="49990D4A"/>
    <w:rsid w:val="4A292FFE"/>
    <w:rsid w:val="4A2B3D49"/>
    <w:rsid w:val="4A4702AB"/>
    <w:rsid w:val="4ACA56B2"/>
    <w:rsid w:val="4AEF57BE"/>
    <w:rsid w:val="4B111C8B"/>
    <w:rsid w:val="4B600CF3"/>
    <w:rsid w:val="4B6F617A"/>
    <w:rsid w:val="4B944784"/>
    <w:rsid w:val="4BF316E3"/>
    <w:rsid w:val="4C67205E"/>
    <w:rsid w:val="4C83676C"/>
    <w:rsid w:val="4CA56E4F"/>
    <w:rsid w:val="4CF97C65"/>
    <w:rsid w:val="4D3E71B4"/>
    <w:rsid w:val="4DE10F49"/>
    <w:rsid w:val="4E2E5D79"/>
    <w:rsid w:val="4E543B0C"/>
    <w:rsid w:val="4E6525CD"/>
    <w:rsid w:val="4E97524A"/>
    <w:rsid w:val="4F174207"/>
    <w:rsid w:val="4F2C6C47"/>
    <w:rsid w:val="4F4D5A86"/>
    <w:rsid w:val="4F626628"/>
    <w:rsid w:val="4FD33566"/>
    <w:rsid w:val="4FE10CA2"/>
    <w:rsid w:val="50084A38"/>
    <w:rsid w:val="507A413A"/>
    <w:rsid w:val="507C074A"/>
    <w:rsid w:val="508A5C0E"/>
    <w:rsid w:val="509B0528"/>
    <w:rsid w:val="510838C4"/>
    <w:rsid w:val="511A45C5"/>
    <w:rsid w:val="514C537E"/>
    <w:rsid w:val="51810ACE"/>
    <w:rsid w:val="51A41A56"/>
    <w:rsid w:val="51E46C82"/>
    <w:rsid w:val="51E90604"/>
    <w:rsid w:val="52E669FA"/>
    <w:rsid w:val="5321724F"/>
    <w:rsid w:val="53222FD4"/>
    <w:rsid w:val="53452B9D"/>
    <w:rsid w:val="54161C73"/>
    <w:rsid w:val="543E054C"/>
    <w:rsid w:val="54DB1ED7"/>
    <w:rsid w:val="55805088"/>
    <w:rsid w:val="55B95D86"/>
    <w:rsid w:val="55D9206E"/>
    <w:rsid w:val="55EF5819"/>
    <w:rsid w:val="563C53DC"/>
    <w:rsid w:val="564E192B"/>
    <w:rsid w:val="565151E5"/>
    <w:rsid w:val="566859AF"/>
    <w:rsid w:val="566B44F9"/>
    <w:rsid w:val="5697228A"/>
    <w:rsid w:val="56B70B57"/>
    <w:rsid w:val="56E535DA"/>
    <w:rsid w:val="57086048"/>
    <w:rsid w:val="572345A1"/>
    <w:rsid w:val="57B70A41"/>
    <w:rsid w:val="57E45BF4"/>
    <w:rsid w:val="58675193"/>
    <w:rsid w:val="58AE5873"/>
    <w:rsid w:val="58E81ECC"/>
    <w:rsid w:val="592C33B9"/>
    <w:rsid w:val="59536686"/>
    <w:rsid w:val="595D1D9E"/>
    <w:rsid w:val="59747B49"/>
    <w:rsid w:val="59AD1935"/>
    <w:rsid w:val="5A0827FC"/>
    <w:rsid w:val="5A601E9A"/>
    <w:rsid w:val="5AB1171C"/>
    <w:rsid w:val="5AC87D9B"/>
    <w:rsid w:val="5B0B1E06"/>
    <w:rsid w:val="5B115127"/>
    <w:rsid w:val="5B7019D4"/>
    <w:rsid w:val="5BED30BF"/>
    <w:rsid w:val="5BF5560E"/>
    <w:rsid w:val="5C07081F"/>
    <w:rsid w:val="5C4E1BEB"/>
    <w:rsid w:val="5C7D20F2"/>
    <w:rsid w:val="5CAA564F"/>
    <w:rsid w:val="5CCD1B92"/>
    <w:rsid w:val="5CE15514"/>
    <w:rsid w:val="5CEF64F6"/>
    <w:rsid w:val="5D505750"/>
    <w:rsid w:val="5DA71487"/>
    <w:rsid w:val="5DAF6297"/>
    <w:rsid w:val="5DD042A4"/>
    <w:rsid w:val="5E441F20"/>
    <w:rsid w:val="5E702A95"/>
    <w:rsid w:val="5E927EE6"/>
    <w:rsid w:val="5EDD56BF"/>
    <w:rsid w:val="60076B58"/>
    <w:rsid w:val="606635B7"/>
    <w:rsid w:val="606E1CFF"/>
    <w:rsid w:val="60A8014F"/>
    <w:rsid w:val="613C5419"/>
    <w:rsid w:val="6148266D"/>
    <w:rsid w:val="62324A96"/>
    <w:rsid w:val="628C5A67"/>
    <w:rsid w:val="629D3C8C"/>
    <w:rsid w:val="632E6E5F"/>
    <w:rsid w:val="637847E3"/>
    <w:rsid w:val="63CC1360"/>
    <w:rsid w:val="64117A5B"/>
    <w:rsid w:val="64590086"/>
    <w:rsid w:val="646B7CF6"/>
    <w:rsid w:val="647B0128"/>
    <w:rsid w:val="64B34D12"/>
    <w:rsid w:val="64DE058B"/>
    <w:rsid w:val="653308D7"/>
    <w:rsid w:val="65CC62CA"/>
    <w:rsid w:val="6636339A"/>
    <w:rsid w:val="66555095"/>
    <w:rsid w:val="66BF00FF"/>
    <w:rsid w:val="670C27B5"/>
    <w:rsid w:val="67360FA6"/>
    <w:rsid w:val="67927308"/>
    <w:rsid w:val="67C22BC3"/>
    <w:rsid w:val="67CA414B"/>
    <w:rsid w:val="680D18B3"/>
    <w:rsid w:val="68256943"/>
    <w:rsid w:val="68774F7F"/>
    <w:rsid w:val="688D19A9"/>
    <w:rsid w:val="68D06558"/>
    <w:rsid w:val="69242AFE"/>
    <w:rsid w:val="693B7D5A"/>
    <w:rsid w:val="6A095690"/>
    <w:rsid w:val="6A7C484E"/>
    <w:rsid w:val="6AFF1E9B"/>
    <w:rsid w:val="6B5A4EA4"/>
    <w:rsid w:val="6B7617D7"/>
    <w:rsid w:val="6B7C455F"/>
    <w:rsid w:val="6B951B52"/>
    <w:rsid w:val="6BA178BA"/>
    <w:rsid w:val="6BAC3191"/>
    <w:rsid w:val="6BBE13B4"/>
    <w:rsid w:val="6BD46244"/>
    <w:rsid w:val="6C141B76"/>
    <w:rsid w:val="6C294FF9"/>
    <w:rsid w:val="6C681E3D"/>
    <w:rsid w:val="6CA034B2"/>
    <w:rsid w:val="6CBE13CE"/>
    <w:rsid w:val="6CDD63AD"/>
    <w:rsid w:val="6CDF3526"/>
    <w:rsid w:val="6D3F443D"/>
    <w:rsid w:val="6DAA462E"/>
    <w:rsid w:val="6DE06F3E"/>
    <w:rsid w:val="6E0C07D1"/>
    <w:rsid w:val="6E0E0133"/>
    <w:rsid w:val="6E160D96"/>
    <w:rsid w:val="6E2711F5"/>
    <w:rsid w:val="6E3D1D31"/>
    <w:rsid w:val="6F0230C8"/>
    <w:rsid w:val="6F3430C2"/>
    <w:rsid w:val="6F7B75B8"/>
    <w:rsid w:val="6F847DBE"/>
    <w:rsid w:val="6FE57CB0"/>
    <w:rsid w:val="70876749"/>
    <w:rsid w:val="70DF2C02"/>
    <w:rsid w:val="70EB7392"/>
    <w:rsid w:val="71031848"/>
    <w:rsid w:val="713E2ADE"/>
    <w:rsid w:val="71A022C9"/>
    <w:rsid w:val="71BE59CD"/>
    <w:rsid w:val="71DC5E53"/>
    <w:rsid w:val="71DD22F7"/>
    <w:rsid w:val="71FB781B"/>
    <w:rsid w:val="722F34F0"/>
    <w:rsid w:val="72A921D9"/>
    <w:rsid w:val="72B33057"/>
    <w:rsid w:val="730A32BE"/>
    <w:rsid w:val="73345D5F"/>
    <w:rsid w:val="734B0FCB"/>
    <w:rsid w:val="737C3589"/>
    <w:rsid w:val="737D6D55"/>
    <w:rsid w:val="73896DD6"/>
    <w:rsid w:val="73C202A1"/>
    <w:rsid w:val="73C8568B"/>
    <w:rsid w:val="73DC6A8F"/>
    <w:rsid w:val="740A44FF"/>
    <w:rsid w:val="742525FA"/>
    <w:rsid w:val="742662D7"/>
    <w:rsid w:val="74365A66"/>
    <w:rsid w:val="746E722A"/>
    <w:rsid w:val="74B60BDD"/>
    <w:rsid w:val="74DC6AB5"/>
    <w:rsid w:val="74FC7BDE"/>
    <w:rsid w:val="756B594D"/>
    <w:rsid w:val="75BE5F9B"/>
    <w:rsid w:val="75F02D47"/>
    <w:rsid w:val="76195DD6"/>
    <w:rsid w:val="768E4BCA"/>
    <w:rsid w:val="770110A1"/>
    <w:rsid w:val="770245AD"/>
    <w:rsid w:val="78056103"/>
    <w:rsid w:val="78177082"/>
    <w:rsid w:val="7839178E"/>
    <w:rsid w:val="787352C6"/>
    <w:rsid w:val="78874D6A"/>
    <w:rsid w:val="78B167C1"/>
    <w:rsid w:val="78BA0F21"/>
    <w:rsid w:val="790B11E8"/>
    <w:rsid w:val="794F4242"/>
    <w:rsid w:val="79D7229C"/>
    <w:rsid w:val="7A3C0679"/>
    <w:rsid w:val="7A8821DD"/>
    <w:rsid w:val="7AD26045"/>
    <w:rsid w:val="7B4F20BA"/>
    <w:rsid w:val="7B7C4096"/>
    <w:rsid w:val="7CF10940"/>
    <w:rsid w:val="7D464386"/>
    <w:rsid w:val="7D627399"/>
    <w:rsid w:val="7D6C7745"/>
    <w:rsid w:val="7D9D2EC1"/>
    <w:rsid w:val="7DBE6769"/>
    <w:rsid w:val="7E9006F1"/>
    <w:rsid w:val="7EB0506A"/>
    <w:rsid w:val="7F1873C3"/>
    <w:rsid w:val="7F1F5B28"/>
    <w:rsid w:val="7F4514DB"/>
    <w:rsid w:val="7F674D76"/>
    <w:rsid w:val="7F90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autoRedefine/>
    <w:qFormat/>
    <w:uiPriority w:val="1"/>
    <w:pPr>
      <w:ind w:left="100"/>
      <w:outlineLvl w:val="0"/>
    </w:pPr>
    <w:rPr>
      <w:rFonts w:ascii="宋体" w:hAnsi="宋体" w:eastAsia="宋体"/>
      <w:sz w:val="36"/>
      <w:szCs w:val="36"/>
    </w:rPr>
  </w:style>
  <w:style w:type="paragraph" w:styleId="3">
    <w:name w:val="heading 2"/>
    <w:basedOn w:val="1"/>
    <w:next w:val="1"/>
    <w:autoRedefine/>
    <w:qFormat/>
    <w:uiPriority w:val="1"/>
    <w:pPr>
      <w:ind w:left="-21" w:firstLine="2592"/>
      <w:outlineLvl w:val="1"/>
    </w:pPr>
    <w:rPr>
      <w:rFonts w:ascii="宋体" w:hAnsi="宋体" w:eastAsia="宋体"/>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1"/>
    <w:autoRedefine/>
    <w:semiHidden/>
    <w:unhideWhenUsed/>
    <w:qFormat/>
    <w:uiPriority w:val="99"/>
  </w:style>
  <w:style w:type="paragraph" w:styleId="5">
    <w:name w:val="Body Text"/>
    <w:basedOn w:val="1"/>
    <w:autoRedefine/>
    <w:qFormat/>
    <w:uiPriority w:val="1"/>
    <w:pPr>
      <w:spacing w:before="207"/>
      <w:ind w:left="120"/>
    </w:pPr>
    <w:rPr>
      <w:rFonts w:ascii="宋体" w:hAnsi="宋体" w:eastAsia="宋体"/>
      <w:sz w:val="30"/>
      <w:szCs w:val="30"/>
    </w:rPr>
  </w:style>
  <w:style w:type="paragraph" w:styleId="6">
    <w:name w:val="Balloon Text"/>
    <w:basedOn w:val="1"/>
    <w:link w:val="23"/>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2"/>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semiHidden/>
    <w:unhideWhenUsed/>
    <w:qFormat/>
    <w:uiPriority w:val="99"/>
    <w:rPr>
      <w:sz w:val="21"/>
      <w:szCs w:val="21"/>
    </w:rPr>
  </w:style>
  <w:style w:type="table" w:customStyle="1" w:styleId="15">
    <w:name w:val="Table Normal"/>
    <w:autoRedefine/>
    <w:semiHidden/>
    <w:unhideWhenUsed/>
    <w:qFormat/>
    <w:uiPriority w:val="2"/>
    <w:tblPr>
      <w:tblCellMar>
        <w:top w:w="0" w:type="dxa"/>
        <w:left w:w="0" w:type="dxa"/>
        <w:bottom w:w="0" w:type="dxa"/>
        <w:right w:w="0" w:type="dxa"/>
      </w:tblCellMar>
    </w:tblPr>
  </w:style>
  <w:style w:type="paragraph" w:styleId="16">
    <w:name w:val="List Paragraph"/>
    <w:basedOn w:val="1"/>
    <w:autoRedefine/>
    <w:qFormat/>
    <w:uiPriority w:val="1"/>
  </w:style>
  <w:style w:type="paragraph" w:customStyle="1" w:styleId="17">
    <w:name w:val="Table Paragraph"/>
    <w:basedOn w:val="1"/>
    <w:autoRedefine/>
    <w:qFormat/>
    <w:uiPriority w:val="1"/>
  </w:style>
  <w:style w:type="paragraph" w:customStyle="1" w:styleId="18">
    <w:name w:val="Default"/>
    <w:autoRedefine/>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en-US" w:bidi="ar-SA"/>
    </w:rPr>
  </w:style>
  <w:style w:type="character" w:customStyle="1" w:styleId="19">
    <w:name w:val="页眉 字符"/>
    <w:basedOn w:val="13"/>
    <w:link w:val="8"/>
    <w:autoRedefine/>
    <w:qFormat/>
    <w:uiPriority w:val="99"/>
    <w:rPr>
      <w:sz w:val="18"/>
      <w:szCs w:val="18"/>
    </w:rPr>
  </w:style>
  <w:style w:type="character" w:customStyle="1" w:styleId="20">
    <w:name w:val="页脚 字符"/>
    <w:basedOn w:val="13"/>
    <w:link w:val="7"/>
    <w:autoRedefine/>
    <w:qFormat/>
    <w:uiPriority w:val="99"/>
    <w:rPr>
      <w:sz w:val="18"/>
      <w:szCs w:val="18"/>
    </w:rPr>
  </w:style>
  <w:style w:type="character" w:customStyle="1" w:styleId="21">
    <w:name w:val="批注文字 字符"/>
    <w:basedOn w:val="13"/>
    <w:link w:val="4"/>
    <w:autoRedefine/>
    <w:semiHidden/>
    <w:qFormat/>
    <w:uiPriority w:val="99"/>
    <w:rPr>
      <w:rFonts w:asciiTheme="minorHAnsi" w:hAnsiTheme="minorHAnsi" w:eastAsiaTheme="minorEastAsia" w:cstheme="minorBidi"/>
      <w:sz w:val="22"/>
      <w:szCs w:val="22"/>
      <w:lang w:eastAsia="en-US"/>
    </w:rPr>
  </w:style>
  <w:style w:type="character" w:customStyle="1" w:styleId="22">
    <w:name w:val="批注主题 字符"/>
    <w:basedOn w:val="21"/>
    <w:link w:val="10"/>
    <w:autoRedefine/>
    <w:semiHidden/>
    <w:qFormat/>
    <w:uiPriority w:val="99"/>
    <w:rPr>
      <w:rFonts w:asciiTheme="minorHAnsi" w:hAnsiTheme="minorHAnsi" w:eastAsiaTheme="minorEastAsia" w:cstheme="minorBidi"/>
      <w:b/>
      <w:bCs/>
      <w:sz w:val="22"/>
      <w:szCs w:val="22"/>
      <w:lang w:eastAsia="en-US"/>
    </w:rPr>
  </w:style>
  <w:style w:type="character" w:customStyle="1" w:styleId="23">
    <w:name w:val="批注框文本 字符"/>
    <w:basedOn w:val="13"/>
    <w:link w:val="6"/>
    <w:autoRedefine/>
    <w:semiHidden/>
    <w:qFormat/>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4464</Words>
  <Characters>4563</Characters>
  <Lines>61</Lines>
  <Paragraphs>17</Paragraphs>
  <TotalTime>2</TotalTime>
  <ScaleCrop>false</ScaleCrop>
  <LinksUpToDate>false</LinksUpToDate>
  <CharactersWithSpaces>4598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2021-08-19T09:37:00Z</dcterms:created>
  <dc:creator>张肖军(拟稿)</dc:creator>
  <cp:lastModifiedBy>Amy</cp:lastModifiedBy>
  <cp:lastPrinted>2023-03-02T00:00:00Z</cp:lastPrinted>
  <dcterms:modified xsi:type="dcterms:W3CDTF">2024-04-21T07:17:58Z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2052-12.1.0.16417</vt:lpwstr>
  </property>
  <property fmtid="{D5CDD505-2E9C-101B-9397-08002B2CF9AE}" pid="6" name="ICV">
    <vt:lpwstr>6110B7415DC740C58185CD86345CBEB1</vt:lpwstr>
  </property>
  <property fmtid="{D5CDD505-2E9C-101B-9397-08002B2CF9AE}" pid="7" name="commondata">
    <vt:lpwstr>eyJoZGlkIjoiMTIwOGJlM2MwYTQ1ZjViODE0ZDU4ODIwMzJjNGNiY2IifQ==</vt:lpwstr>
  </property>
</Properties>
</file>