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F3" w:rsidRDefault="00086426">
      <w:pPr>
        <w:spacing w:before="104" w:line="226" w:lineRule="auto"/>
        <w:ind w:left="145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黑体" w:eastAsia="黑体" w:hAnsi="黑体" w:cs="黑体"/>
          <w:spacing w:val="-9"/>
          <w:sz w:val="32"/>
          <w:szCs w:val="32"/>
        </w:rPr>
        <w:t>附件</w:t>
      </w:r>
      <w:proofErr w:type="spellEnd"/>
      <w:r>
        <w:rPr>
          <w:rFonts w:ascii="黑体" w:eastAsia="黑体" w:hAnsi="黑体" w:cs="黑体"/>
          <w:spacing w:val="-6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2"/>
          <w:szCs w:val="32"/>
        </w:rPr>
        <w:t>3</w:t>
      </w:r>
    </w:p>
    <w:p w:rsidR="008928F3" w:rsidRDefault="00086426">
      <w:pPr>
        <w:spacing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spellStart"/>
      <w:r>
        <w:rPr>
          <w:rFonts w:ascii="方正小标宋简体" w:eastAsia="方正小标宋简体" w:hAnsi="方正小标宋简体" w:cs="方正小标宋简体"/>
          <w:sz w:val="44"/>
          <w:szCs w:val="44"/>
        </w:rPr>
        <w:t>江苏省入河排污口整治公示</w:t>
      </w:r>
      <w:proofErr w:type="spellEnd"/>
    </w:p>
    <w:p w:rsidR="008928F3" w:rsidRDefault="008928F3">
      <w:pPr>
        <w:spacing w:line="560" w:lineRule="exact"/>
        <w:ind w:firstLine="628"/>
        <w:jc w:val="both"/>
        <w:rPr>
          <w:rFonts w:ascii="仿宋_GB2312" w:eastAsia="仿宋_GB2312" w:hAnsi="仿宋_GB2312" w:cs="仿宋_GB2312"/>
          <w:spacing w:val="-4"/>
          <w:sz w:val="32"/>
          <w:szCs w:val="32"/>
        </w:rPr>
      </w:pPr>
    </w:p>
    <w:p w:rsidR="008928F3" w:rsidRDefault="00086426">
      <w:pPr>
        <w:spacing w:line="560" w:lineRule="exact"/>
        <w:ind w:firstLine="628"/>
        <w:jc w:val="both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《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溧阳市太湖流域入河</w:t>
      </w:r>
      <w:proofErr w:type="spellEnd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湖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)</w:t>
      </w:r>
      <w:proofErr w:type="spellStart"/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排污口规范化整治工作方案》</w:t>
      </w:r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涉及的</w:t>
      </w:r>
      <w:proofErr w:type="spellEnd"/>
      <w:r>
        <w:rPr>
          <w:rFonts w:ascii="FangSong_GB2312" w:eastAsia="FangSong_GB2312" w:hAnsi="FangSong_GB2312" w:cs="FangSong_GB2312" w:hint="eastAsia"/>
          <w:spacing w:val="-4"/>
          <w:sz w:val="32"/>
          <w:szCs w:val="32"/>
          <w:lang w:eastAsia="zh-CN"/>
        </w:rPr>
        <w:t>常州市溧阳市别桥镇常州科技经贸技工学校东南侧城镇雨洪排口</w:t>
      </w:r>
      <w:proofErr w:type="spellStart"/>
      <w:r>
        <w:rPr>
          <w:rFonts w:ascii="FangSong_GB2312" w:eastAsia="FangSong_GB2312" w:hAnsi="FangSong_GB2312" w:cs="FangSong_GB2312"/>
          <w:spacing w:val="4"/>
          <w:sz w:val="32"/>
          <w:szCs w:val="32"/>
        </w:rPr>
        <w:t>整</w:t>
      </w:r>
      <w:r>
        <w:rPr>
          <w:rFonts w:ascii="FangSong_GB2312" w:eastAsia="FangSong_GB2312" w:hAnsi="FangSong_GB2312" w:cs="FangSong_GB2312"/>
          <w:spacing w:val="-4"/>
          <w:sz w:val="32"/>
          <w:szCs w:val="32"/>
        </w:rPr>
        <w:t>治任务已完成，根据《江苏省入河排污口整治销号工作办法（试</w:t>
      </w:r>
      <w:r>
        <w:rPr>
          <w:rFonts w:ascii="FangSong_GB2312" w:eastAsia="FangSong_GB2312" w:hAnsi="FangSong_GB2312" w:cs="FangSong_GB2312"/>
          <w:spacing w:val="-2"/>
          <w:sz w:val="32"/>
          <w:szCs w:val="32"/>
        </w:rPr>
        <w:t>行）》，现将该入河排污口整治完成情况向社会</w:t>
      </w:r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公示，见附表</w:t>
      </w:r>
      <w:proofErr w:type="spellEnd"/>
      <w:r>
        <w:rPr>
          <w:rFonts w:ascii="FangSong_GB2312" w:eastAsia="FangSong_GB2312" w:hAnsi="FangSong_GB2312" w:cs="FangSong_GB2312"/>
          <w:spacing w:val="-3"/>
          <w:sz w:val="32"/>
          <w:szCs w:val="32"/>
        </w:rPr>
        <w:t>。</w:t>
      </w:r>
    </w:p>
    <w:p w:rsidR="008928F3" w:rsidRDefault="00086426">
      <w:pPr>
        <w:spacing w:line="560" w:lineRule="exact"/>
        <w:ind w:firstLine="628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如对以下入河排污口整治完成情况有异议，请在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公示期间（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日至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 xml:space="preserve"> 20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24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11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25</w:t>
      </w:r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日）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向常州市溧阳生态环境局反映，我们将严格执行保密要求。</w:t>
      </w:r>
    </w:p>
    <w:p w:rsidR="008928F3" w:rsidRDefault="00086426">
      <w:pPr>
        <w:spacing w:line="560" w:lineRule="exact"/>
        <w:ind w:firstLineChars="200" w:firstLine="636"/>
        <w:rPr>
          <w:rFonts w:ascii="FangSong_GB2312" w:eastAsia="FangSong_GB2312" w:hAnsi="FangSong_GB2312" w:cs="FangSong_GB2312" w:hint="eastAsia"/>
          <w:spacing w:val="-1"/>
          <w:sz w:val="32"/>
          <w:szCs w:val="32"/>
          <w:lang w:eastAsia="zh-CN"/>
        </w:rPr>
      </w:pPr>
      <w:proofErr w:type="spellStart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联系人</w:t>
      </w:r>
      <w:proofErr w:type="spellEnd"/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曹浩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；联系方式：</w:t>
      </w:r>
      <w:r>
        <w:rPr>
          <w:rFonts w:ascii="Times New Roman" w:eastAsia="宋体" w:hAnsi="Times New Roman" w:cs="Times New Roman" w:hint="eastAsia"/>
          <w:spacing w:val="-1"/>
          <w:sz w:val="32"/>
          <w:szCs w:val="32"/>
          <w:lang w:eastAsia="zh-CN"/>
        </w:rPr>
        <w:t>19501191905</w:t>
      </w:r>
      <w:r>
        <w:rPr>
          <w:rFonts w:ascii="FangSong_GB2312" w:eastAsia="FangSong_GB2312" w:hAnsi="FangSong_GB2312" w:cs="FangSong_GB2312"/>
          <w:spacing w:val="-1"/>
          <w:sz w:val="32"/>
          <w:szCs w:val="32"/>
        </w:rPr>
        <w:t>。</w:t>
      </w:r>
    </w:p>
    <w:p w:rsidR="004D506B" w:rsidRDefault="004D506B" w:rsidP="004D506B">
      <w:pPr>
        <w:spacing w:line="560" w:lineRule="exact"/>
        <w:ind w:firstLineChars="200" w:firstLine="640"/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</w:pPr>
      <w:r w:rsidRPr="004D506B">
        <w:rPr>
          <w:rFonts w:ascii="FangSong_GB2312" w:eastAsia="FangSong_GB2312" w:hAnsi="FangSong_GB2312" w:cs="FangSong_GB2312" w:hint="eastAsia"/>
          <w:sz w:val="32"/>
          <w:szCs w:val="32"/>
          <w:lang w:eastAsia="zh-CN"/>
        </w:rPr>
        <w:t>（上述个人信息由于工作需要经本人同意对外公布。）</w:t>
      </w:r>
    </w:p>
    <w:p w:rsidR="008928F3" w:rsidRDefault="008928F3">
      <w:pPr>
        <w:spacing w:before="214"/>
      </w:pPr>
    </w:p>
    <w:tbl>
      <w:tblPr>
        <w:tblStyle w:val="TableNormal"/>
        <w:tblW w:w="907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60"/>
        <w:gridCol w:w="1711"/>
        <w:gridCol w:w="1437"/>
        <w:gridCol w:w="1499"/>
        <w:gridCol w:w="1394"/>
        <w:gridCol w:w="2177"/>
      </w:tblGrid>
      <w:tr w:rsidR="008928F3">
        <w:trPr>
          <w:trHeight w:val="632"/>
        </w:trPr>
        <w:tc>
          <w:tcPr>
            <w:tcW w:w="860" w:type="dxa"/>
          </w:tcPr>
          <w:p w:rsidR="008928F3" w:rsidRDefault="00086426">
            <w:pPr>
              <w:spacing w:before="157" w:line="366" w:lineRule="exact"/>
              <w:ind w:left="154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序号</w:t>
            </w:r>
            <w:proofErr w:type="spellEnd"/>
          </w:p>
        </w:tc>
        <w:tc>
          <w:tcPr>
            <w:tcW w:w="1711" w:type="dxa"/>
          </w:tcPr>
          <w:p w:rsidR="008928F3" w:rsidRDefault="00086426">
            <w:pPr>
              <w:spacing w:before="157" w:line="363" w:lineRule="exact"/>
              <w:ind w:left="158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排污口名称</w:t>
            </w:r>
            <w:proofErr w:type="spellEnd"/>
          </w:p>
        </w:tc>
        <w:tc>
          <w:tcPr>
            <w:tcW w:w="1437" w:type="dxa"/>
          </w:tcPr>
          <w:p w:rsidR="008928F3" w:rsidRDefault="00086426">
            <w:pPr>
              <w:spacing w:before="157" w:line="362" w:lineRule="exact"/>
              <w:ind w:left="170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5"/>
                <w:position w:val="1"/>
                <w:sz w:val="27"/>
                <w:szCs w:val="27"/>
              </w:rPr>
              <w:t>责任主体</w:t>
            </w:r>
            <w:proofErr w:type="spellEnd"/>
          </w:p>
        </w:tc>
        <w:tc>
          <w:tcPr>
            <w:tcW w:w="1499" w:type="dxa"/>
          </w:tcPr>
          <w:p w:rsidR="008928F3" w:rsidRDefault="00086426">
            <w:pPr>
              <w:spacing w:before="157" w:line="363" w:lineRule="exact"/>
              <w:ind w:left="19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7"/>
                <w:position w:val="1"/>
                <w:sz w:val="27"/>
                <w:szCs w:val="27"/>
              </w:rPr>
              <w:t>存在问题</w:t>
            </w:r>
            <w:proofErr w:type="spellEnd"/>
          </w:p>
        </w:tc>
        <w:tc>
          <w:tcPr>
            <w:tcW w:w="1394" w:type="dxa"/>
          </w:tcPr>
          <w:p w:rsidR="008928F3" w:rsidRDefault="00086426">
            <w:pPr>
              <w:spacing w:before="157" w:line="363" w:lineRule="exact"/>
              <w:ind w:left="142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6"/>
                <w:position w:val="1"/>
                <w:sz w:val="27"/>
                <w:szCs w:val="27"/>
              </w:rPr>
              <w:t>整改措施</w:t>
            </w:r>
            <w:proofErr w:type="spellEnd"/>
          </w:p>
        </w:tc>
        <w:tc>
          <w:tcPr>
            <w:tcW w:w="2177" w:type="dxa"/>
          </w:tcPr>
          <w:p w:rsidR="008928F3" w:rsidRDefault="00086426">
            <w:pPr>
              <w:spacing w:before="157" w:line="362" w:lineRule="exact"/>
              <w:ind w:left="253"/>
              <w:rPr>
                <w:rFonts w:ascii="黑体" w:eastAsia="黑体" w:hAnsi="黑体" w:cs="黑体"/>
                <w:sz w:val="27"/>
                <w:szCs w:val="27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position w:val="1"/>
                <w:sz w:val="27"/>
                <w:szCs w:val="27"/>
              </w:rPr>
              <w:t>整治完成情况</w:t>
            </w:r>
            <w:proofErr w:type="spellEnd"/>
          </w:p>
        </w:tc>
      </w:tr>
      <w:tr w:rsidR="008928F3">
        <w:trPr>
          <w:trHeight w:val="628"/>
        </w:trPr>
        <w:tc>
          <w:tcPr>
            <w:tcW w:w="860" w:type="dxa"/>
            <w:vAlign w:val="center"/>
          </w:tcPr>
          <w:p w:rsidR="008928F3" w:rsidRDefault="0008642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1</w:t>
            </w:r>
          </w:p>
        </w:tc>
        <w:tc>
          <w:tcPr>
            <w:tcW w:w="1711" w:type="dxa"/>
            <w:vAlign w:val="center"/>
          </w:tcPr>
          <w:p w:rsidR="008928F3" w:rsidRDefault="0008642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27"/>
                <w:szCs w:val="27"/>
                <w:lang w:eastAsia="zh-CN"/>
              </w:rPr>
              <w:t>常州市溧阳市别桥镇常州科技经贸技工学校东南侧城镇雨洪排口</w:t>
            </w:r>
          </w:p>
        </w:tc>
        <w:tc>
          <w:tcPr>
            <w:tcW w:w="1437" w:type="dxa"/>
            <w:vAlign w:val="center"/>
          </w:tcPr>
          <w:p w:rsidR="008928F3" w:rsidRDefault="0008642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别桥镇人民政府</w:t>
            </w:r>
            <w:proofErr w:type="spellEnd"/>
          </w:p>
        </w:tc>
        <w:tc>
          <w:tcPr>
            <w:tcW w:w="1499" w:type="dxa"/>
            <w:vAlign w:val="center"/>
          </w:tcPr>
          <w:p w:rsidR="008928F3" w:rsidRDefault="0008642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超标排放（化学需氧量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27mg/L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0.35 </w:t>
            </w: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倍；总磷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0.27mg/L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，超标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 xml:space="preserve"> 0.35 </w:t>
            </w:r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倍。）</w:t>
            </w:r>
          </w:p>
        </w:tc>
        <w:tc>
          <w:tcPr>
            <w:tcW w:w="1394" w:type="dxa"/>
            <w:vAlign w:val="center"/>
          </w:tcPr>
          <w:p w:rsidR="008928F3" w:rsidRDefault="00086426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）通过管道机器人探测等手段，开展精准溯源，查找雨污混接来源，根据溯源结果开展雨污分流改造。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8928F3" w:rsidRDefault="00086426">
            <w:pPr>
              <w:rPr>
                <w:rFonts w:ascii="仿宋_GB2312" w:eastAsia="仿宋_GB2312" w:hAnsi="Times New Roman" w:cs="Times New Roman"/>
                <w:sz w:val="16"/>
                <w:szCs w:val="16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）加强日常监管，保障晴天无污水流出，后续排口建设工作时，对排污口进行定期观测，确保无排污口单位将废水排入管道。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 xml:space="preserve"> </w:t>
            </w:r>
          </w:p>
          <w:p w:rsidR="008928F3" w:rsidRDefault="0008642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 w:val="16"/>
                <w:szCs w:val="16"/>
              </w:rPr>
              <w:t>）加强河道水环境治理的长效管理，定期对排水沟渠淤泥、垃圾、杂草进行清理保洁。</w:t>
            </w:r>
          </w:p>
        </w:tc>
        <w:tc>
          <w:tcPr>
            <w:tcW w:w="2177" w:type="dxa"/>
            <w:vAlign w:val="center"/>
          </w:tcPr>
          <w:p w:rsidR="008928F3" w:rsidRDefault="00086426">
            <w:pPr>
              <w:rPr>
                <w:rFonts w:ascii="仿宋_GB2312" w:eastAsia="仿宋_GB2312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别桥镇已按照“一口一策”整治方案，对该排口进行规范整治，在排口位置设立了标识牌，定期对排口进行水质监测，排口水质能够达标排放</w:t>
            </w:r>
            <w:proofErr w:type="spellEnd"/>
            <w:r>
              <w:rPr>
                <w:rFonts w:ascii="仿宋_GB2312" w:eastAsia="仿宋_GB2312" w:hAnsi="Times New Roman" w:cs="Times New Roman" w:hint="eastAsia"/>
                <w:sz w:val="27"/>
                <w:szCs w:val="27"/>
              </w:rPr>
              <w:t>。</w:t>
            </w:r>
          </w:p>
        </w:tc>
      </w:tr>
      <w:tr w:rsidR="008928F3">
        <w:trPr>
          <w:trHeight w:val="628"/>
        </w:trPr>
        <w:tc>
          <w:tcPr>
            <w:tcW w:w="860" w:type="dxa"/>
            <w:vAlign w:val="center"/>
          </w:tcPr>
          <w:p w:rsidR="008928F3" w:rsidRDefault="00086426">
            <w:pPr>
              <w:spacing w:before="77" w:line="85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7"/>
                <w:szCs w:val="27"/>
              </w:rPr>
              <w:t>…</w:t>
            </w:r>
          </w:p>
        </w:tc>
        <w:tc>
          <w:tcPr>
            <w:tcW w:w="1711" w:type="dxa"/>
            <w:vAlign w:val="center"/>
          </w:tcPr>
          <w:p w:rsidR="008928F3" w:rsidRDefault="008928F3">
            <w:pPr>
              <w:jc w:val="center"/>
            </w:pPr>
          </w:p>
        </w:tc>
        <w:tc>
          <w:tcPr>
            <w:tcW w:w="1437" w:type="dxa"/>
            <w:vAlign w:val="center"/>
          </w:tcPr>
          <w:p w:rsidR="008928F3" w:rsidRDefault="008928F3">
            <w:pPr>
              <w:jc w:val="center"/>
            </w:pPr>
          </w:p>
        </w:tc>
        <w:tc>
          <w:tcPr>
            <w:tcW w:w="1499" w:type="dxa"/>
            <w:vAlign w:val="center"/>
          </w:tcPr>
          <w:p w:rsidR="008928F3" w:rsidRDefault="008928F3">
            <w:pPr>
              <w:jc w:val="center"/>
            </w:pPr>
          </w:p>
        </w:tc>
        <w:tc>
          <w:tcPr>
            <w:tcW w:w="1394" w:type="dxa"/>
            <w:vAlign w:val="center"/>
          </w:tcPr>
          <w:p w:rsidR="008928F3" w:rsidRDefault="008928F3">
            <w:pPr>
              <w:jc w:val="center"/>
            </w:pPr>
          </w:p>
        </w:tc>
        <w:tc>
          <w:tcPr>
            <w:tcW w:w="2177" w:type="dxa"/>
            <w:vAlign w:val="center"/>
          </w:tcPr>
          <w:p w:rsidR="008928F3" w:rsidRDefault="008928F3">
            <w:pPr>
              <w:jc w:val="center"/>
            </w:pPr>
          </w:p>
        </w:tc>
      </w:tr>
    </w:tbl>
    <w:p w:rsidR="008928F3" w:rsidRDefault="008928F3">
      <w:pPr>
        <w:spacing w:before="104" w:line="226" w:lineRule="auto"/>
        <w:ind w:left="145"/>
        <w:rPr>
          <w:rFonts w:ascii="黑体" w:eastAsia="黑体" w:hAnsi="黑体" w:cs="黑体"/>
          <w:spacing w:val="-9"/>
          <w:sz w:val="32"/>
          <w:szCs w:val="32"/>
        </w:rPr>
      </w:pPr>
    </w:p>
    <w:p w:rsidR="008928F3" w:rsidRPr="004D506B" w:rsidRDefault="008928F3">
      <w:pPr>
        <w:rPr>
          <w:rFonts w:eastAsiaTheme="minorEastAsia" w:hint="eastAsia"/>
          <w:lang w:eastAsia="zh-CN"/>
        </w:rPr>
      </w:pPr>
    </w:p>
    <w:sectPr w:rsidR="008928F3" w:rsidRPr="004D506B" w:rsidSect="0089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426" w:rsidRDefault="00086426">
      <w:r>
        <w:separator/>
      </w:r>
    </w:p>
  </w:endnote>
  <w:endnote w:type="continuationSeparator" w:id="0">
    <w:p w:rsidR="00086426" w:rsidRDefault="0008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426" w:rsidRDefault="00086426">
      <w:r>
        <w:separator/>
      </w:r>
    </w:p>
  </w:footnote>
  <w:footnote w:type="continuationSeparator" w:id="0">
    <w:p w:rsidR="00086426" w:rsidRDefault="00086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1YWZhZGExYmUxMWMzYWZkMjJiZWFkMzRiYzM4OTUifQ=="/>
  </w:docVars>
  <w:rsids>
    <w:rsidRoot w:val="008928F3"/>
    <w:rsid w:val="00086426"/>
    <w:rsid w:val="004D506B"/>
    <w:rsid w:val="008928F3"/>
    <w:rsid w:val="52765CF2"/>
    <w:rsid w:val="5813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928F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8928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4D50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506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4D50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506B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史泰龙</dc:creator>
  <cp:lastModifiedBy>顾国荣</cp:lastModifiedBy>
  <cp:revision>2</cp:revision>
  <dcterms:created xsi:type="dcterms:W3CDTF">2024-11-14T08:08:00Z</dcterms:created>
  <dcterms:modified xsi:type="dcterms:W3CDTF">2024-11-15T01:28:00Z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7C4B418D24CD4F28B4AE22AF052D5529_12</vt:lpwstr>
  </property>
</Properties>
</file>