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95324">
      <w:pPr>
        <w:jc w:val="center"/>
        <w:rPr>
          <w:rFonts w:eastAsia="方正小标宋简体"/>
          <w:sz w:val="44"/>
          <w:szCs w:val="44"/>
        </w:rPr>
      </w:pPr>
    </w:p>
    <w:p w14:paraId="6B375308">
      <w:pPr>
        <w:rPr>
          <w:rFonts w:eastAsia="方正小标宋简体"/>
          <w:sz w:val="44"/>
          <w:szCs w:val="44"/>
        </w:rPr>
      </w:pPr>
    </w:p>
    <w:p w14:paraId="64ED7636">
      <w:pPr>
        <w:jc w:val="center"/>
        <w:rPr>
          <w:rFonts w:eastAsia="方正小标宋简体"/>
          <w:sz w:val="44"/>
          <w:szCs w:val="44"/>
        </w:rPr>
      </w:pPr>
      <w:r>
        <w:rPr>
          <w:rFonts w:eastAsia="方正小标宋简体"/>
          <w:sz w:val="44"/>
          <w:szCs w:val="44"/>
        </w:rPr>
        <w:t>2024年市级以上农业农村专项</w:t>
      </w:r>
    </w:p>
    <w:p w14:paraId="04DCD514">
      <w:pPr>
        <w:jc w:val="center"/>
        <w:rPr>
          <w:rFonts w:eastAsia="方正小标宋简体"/>
          <w:sz w:val="44"/>
          <w:szCs w:val="44"/>
        </w:rPr>
      </w:pPr>
      <w:r>
        <w:rPr>
          <w:rFonts w:eastAsia="方正小标宋简体"/>
          <w:sz w:val="44"/>
          <w:szCs w:val="44"/>
        </w:rPr>
        <w:t>项目实施方案</w:t>
      </w:r>
    </w:p>
    <w:p w14:paraId="26E7237A">
      <w:pPr>
        <w:rPr>
          <w:rFonts w:eastAsia="仿宋_GB2312"/>
          <w:b/>
          <w:sz w:val="32"/>
          <w:szCs w:val="32"/>
        </w:rPr>
      </w:pPr>
    </w:p>
    <w:p w14:paraId="0C48D68A">
      <w:pPr>
        <w:rPr>
          <w:rFonts w:eastAsia="仿宋_GB2312"/>
          <w:sz w:val="32"/>
          <w:szCs w:val="32"/>
        </w:rPr>
      </w:pPr>
      <w:r>
        <w:rPr>
          <w:rFonts w:eastAsia="仿宋_GB2312"/>
          <w:b/>
          <w:sz w:val="32"/>
          <w:szCs w:val="32"/>
        </w:rPr>
        <w:t>专项名称：</w:t>
      </w:r>
      <w:r>
        <w:rPr>
          <w:rFonts w:eastAsia="仿宋_GB2312"/>
          <w:sz w:val="32"/>
          <w:szCs w:val="32"/>
        </w:rPr>
        <w:t xml:space="preserve"> 农业生态保护与资源利用</w:t>
      </w:r>
    </w:p>
    <w:p w14:paraId="615B3017">
      <w:pPr>
        <w:rPr>
          <w:rFonts w:eastAsia="仿宋_GB2312"/>
          <w:b/>
          <w:sz w:val="32"/>
          <w:szCs w:val="32"/>
        </w:rPr>
      </w:pPr>
    </w:p>
    <w:p w14:paraId="0250D8E5">
      <w:pPr>
        <w:rPr>
          <w:rFonts w:eastAsia="仿宋_GB2312"/>
          <w:sz w:val="32"/>
          <w:szCs w:val="32"/>
        </w:rPr>
      </w:pPr>
      <w:r>
        <w:rPr>
          <w:rFonts w:eastAsia="仿宋_GB2312"/>
          <w:b/>
          <w:sz w:val="32"/>
          <w:szCs w:val="32"/>
        </w:rPr>
        <w:t>工作任务名称：</w:t>
      </w:r>
      <w:r>
        <w:rPr>
          <w:rFonts w:eastAsia="仿宋_GB2312"/>
          <w:sz w:val="32"/>
          <w:szCs w:val="32"/>
        </w:rPr>
        <w:t>农业农村废弃物资源化利用--开展废旧农膜回收</w:t>
      </w:r>
    </w:p>
    <w:p w14:paraId="729D8A4D">
      <w:pPr>
        <w:rPr>
          <w:rFonts w:eastAsia="仿宋_GB2312"/>
          <w:b/>
          <w:sz w:val="32"/>
          <w:szCs w:val="32"/>
        </w:rPr>
      </w:pPr>
    </w:p>
    <w:p w14:paraId="20CFA643">
      <w:pPr>
        <w:rPr>
          <w:rFonts w:eastAsia="仿宋_GB2312"/>
          <w:sz w:val="32"/>
          <w:szCs w:val="32"/>
        </w:rPr>
      </w:pPr>
      <w:r>
        <w:rPr>
          <w:rFonts w:eastAsia="仿宋_GB2312"/>
          <w:b/>
          <w:sz w:val="32"/>
          <w:szCs w:val="32"/>
        </w:rPr>
        <w:t>实施项目名称：</w:t>
      </w:r>
      <w:r>
        <w:rPr>
          <w:rFonts w:eastAsia="仿宋_GB2312"/>
          <w:sz w:val="32"/>
          <w:szCs w:val="32"/>
        </w:rPr>
        <w:t>2024年溧阳市废旧农膜回收利用</w:t>
      </w:r>
    </w:p>
    <w:p w14:paraId="592A0D50">
      <w:pPr>
        <w:rPr>
          <w:rFonts w:eastAsia="仿宋_GB2312"/>
          <w:sz w:val="32"/>
          <w:szCs w:val="32"/>
        </w:rPr>
      </w:pPr>
    </w:p>
    <w:p w14:paraId="3D4DA003">
      <w:pPr>
        <w:rPr>
          <w:rFonts w:eastAsia="仿宋_GB2312"/>
          <w:sz w:val="32"/>
          <w:szCs w:val="32"/>
        </w:rPr>
      </w:pPr>
      <w:r>
        <w:rPr>
          <w:rFonts w:eastAsia="仿宋_GB2312"/>
          <w:b/>
          <w:sz w:val="32"/>
          <w:szCs w:val="32"/>
        </w:rPr>
        <w:t>实施单位（盖章）：</w:t>
      </w:r>
      <w:r>
        <w:rPr>
          <w:rFonts w:eastAsia="仿宋_GB2312"/>
          <w:sz w:val="32"/>
          <w:szCs w:val="32"/>
        </w:rPr>
        <w:t>溧阳市农业综合技术推广中心</w:t>
      </w:r>
    </w:p>
    <w:p w14:paraId="660066C8">
      <w:pPr>
        <w:rPr>
          <w:rFonts w:eastAsia="仿宋_GB2312"/>
          <w:sz w:val="32"/>
          <w:szCs w:val="32"/>
        </w:rPr>
      </w:pPr>
    </w:p>
    <w:p w14:paraId="387402BD">
      <w:pPr>
        <w:rPr>
          <w:rFonts w:eastAsia="仿宋_GB2312"/>
          <w:sz w:val="32"/>
          <w:szCs w:val="32"/>
        </w:rPr>
      </w:pPr>
      <w:r>
        <w:rPr>
          <w:rFonts w:eastAsia="仿宋_GB2312"/>
          <w:b/>
          <w:sz w:val="32"/>
          <w:szCs w:val="32"/>
        </w:rPr>
        <w:t>主管部门：</w:t>
      </w:r>
      <w:r>
        <w:rPr>
          <w:rFonts w:eastAsia="仿宋_GB2312"/>
          <w:sz w:val="32"/>
          <w:szCs w:val="32"/>
        </w:rPr>
        <w:t xml:space="preserve">溧阳市农业农村局（盖章） </w:t>
      </w:r>
    </w:p>
    <w:p w14:paraId="5599DEB5">
      <w:pPr>
        <w:ind w:firstLine="1760" w:firstLineChars="550"/>
        <w:rPr>
          <w:rFonts w:eastAsia="仿宋_GB2312"/>
          <w:sz w:val="32"/>
          <w:szCs w:val="32"/>
        </w:rPr>
      </w:pPr>
      <w:r>
        <w:rPr>
          <w:rFonts w:eastAsia="仿宋_GB2312"/>
          <w:sz w:val="32"/>
          <w:szCs w:val="32"/>
        </w:rPr>
        <w:t>溧阳市财政局（盖章）</w:t>
      </w:r>
    </w:p>
    <w:p w14:paraId="0B019BA0">
      <w:pPr>
        <w:ind w:firstLine="1760" w:firstLineChars="550"/>
        <w:rPr>
          <w:rFonts w:eastAsia="仿宋_GB2312"/>
          <w:sz w:val="32"/>
          <w:szCs w:val="32"/>
        </w:rPr>
      </w:pPr>
    </w:p>
    <w:p w14:paraId="57BC02BE">
      <w:pPr>
        <w:rPr>
          <w:rFonts w:eastAsia="仿宋_GB2312"/>
          <w:sz w:val="32"/>
          <w:szCs w:val="32"/>
        </w:rPr>
      </w:pPr>
      <w:r>
        <w:rPr>
          <w:rFonts w:eastAsia="仿宋_GB2312"/>
          <w:b/>
          <w:sz w:val="32"/>
          <w:szCs w:val="32"/>
        </w:rPr>
        <w:t>填报时间：</w:t>
      </w:r>
      <w:r>
        <w:rPr>
          <w:rFonts w:eastAsia="仿宋_GB2312"/>
          <w:sz w:val="32"/>
          <w:szCs w:val="32"/>
        </w:rPr>
        <w:t xml:space="preserve"> 2024年</w:t>
      </w:r>
      <w:r>
        <w:rPr>
          <w:rFonts w:hint="eastAsia" w:eastAsia="仿宋_GB2312"/>
          <w:sz w:val="32"/>
          <w:szCs w:val="32"/>
        </w:rPr>
        <w:t>6</w:t>
      </w:r>
      <w:r>
        <w:rPr>
          <w:rFonts w:eastAsia="仿宋_GB2312"/>
          <w:sz w:val="32"/>
          <w:szCs w:val="32"/>
        </w:rPr>
        <w:t>月28日</w:t>
      </w:r>
    </w:p>
    <w:p w14:paraId="62C22703">
      <w:pPr>
        <w:rPr>
          <w:rFonts w:eastAsia="仿宋"/>
          <w:sz w:val="32"/>
          <w:szCs w:val="32"/>
        </w:rPr>
      </w:pPr>
    </w:p>
    <w:p w14:paraId="4D5F7ED2">
      <w:pPr>
        <w:jc w:val="center"/>
        <w:rPr>
          <w:rFonts w:eastAsia="仿宋_GB2312"/>
          <w:sz w:val="32"/>
          <w:szCs w:val="32"/>
        </w:rPr>
      </w:pPr>
      <w:r>
        <w:rPr>
          <w:rFonts w:eastAsia="仿宋_GB2312"/>
          <w:sz w:val="32"/>
          <w:szCs w:val="32"/>
        </w:rPr>
        <w:t>江苏省农业农村厅会制</w:t>
      </w:r>
    </w:p>
    <w:p w14:paraId="63912B3C">
      <w:pPr>
        <w:jc w:val="center"/>
        <w:rPr>
          <w:rFonts w:eastAsia="仿宋_GB2312"/>
          <w:sz w:val="32"/>
          <w:szCs w:val="32"/>
        </w:rPr>
      </w:pPr>
    </w:p>
    <w:p w14:paraId="323BAA44">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一、实施范围</w:t>
      </w:r>
    </w:p>
    <w:p w14:paraId="7B1D2291">
      <w:pPr>
        <w:spacing w:line="560" w:lineRule="exact"/>
        <w:ind w:firstLine="640"/>
        <w:rPr>
          <w:rFonts w:eastAsia="仿宋_GB2312"/>
          <w:color w:val="000000"/>
          <w:sz w:val="32"/>
          <w:szCs w:val="32"/>
        </w:rPr>
      </w:pPr>
      <w:r>
        <w:rPr>
          <w:rFonts w:eastAsia="仿宋_GB2312"/>
          <w:color w:val="000000"/>
          <w:sz w:val="32"/>
          <w:szCs w:val="32"/>
        </w:rPr>
        <w:t>溧阳市全市行政区域范围内，所有涉及农膜使用的区域</w:t>
      </w:r>
      <w:r>
        <w:rPr>
          <w:rFonts w:hAnsiTheme="majorEastAsia" w:eastAsiaTheme="majorEastAsia"/>
          <w:color w:val="000000" w:themeColor="text1"/>
          <w:sz w:val="32"/>
          <w:szCs w:val="32"/>
          <w14:textFill>
            <w14:solidFill>
              <w14:schemeClr w14:val="tx1"/>
            </w14:solidFill>
          </w14:textFill>
        </w:rPr>
        <w:t>。</w:t>
      </w:r>
      <w:r>
        <w:rPr>
          <w:rFonts w:eastAsia="仿宋_GB2312"/>
          <w:color w:val="000000"/>
          <w:sz w:val="32"/>
          <w:szCs w:val="32"/>
        </w:rPr>
        <w:t>本方案回收处置的废旧农膜是指在溧阳市范围内因农业生产产生的、被废弃的农膜（主要是地膜）。</w:t>
      </w:r>
    </w:p>
    <w:p w14:paraId="30E98715">
      <w:pPr>
        <w:spacing w:line="560" w:lineRule="exact"/>
        <w:ind w:firstLine="640"/>
        <w:rPr>
          <w:rFonts w:ascii="仿宋_GB2312" w:hAnsi="仿宋" w:eastAsia="仿宋_GB2312"/>
          <w:b/>
          <w:sz w:val="32"/>
          <w:szCs w:val="32"/>
        </w:rPr>
      </w:pPr>
      <w:r>
        <w:rPr>
          <w:rFonts w:hint="eastAsia" w:ascii="仿宋_GB2312" w:hAnsi="仿宋" w:eastAsia="仿宋_GB2312"/>
          <w:b/>
          <w:sz w:val="32"/>
          <w:szCs w:val="32"/>
        </w:rPr>
        <w:t>二、实施内容</w:t>
      </w:r>
      <w:r>
        <w:rPr>
          <w:rFonts w:hint="eastAsia" w:ascii="仿宋_GB2312" w:hAnsi="仿宋" w:eastAsia="仿宋_GB2312"/>
          <w:b/>
          <w:sz w:val="32"/>
          <w:szCs w:val="32"/>
        </w:rPr>
        <w:tab/>
      </w:r>
    </w:p>
    <w:p w14:paraId="09F00D2B">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采取“市场运作、政府扶持、属地管理”的原则，建立以“市场主体回收、专业机构处置、公共财政扶持”为主要模式的废旧农膜回收和集中处置体系，形成环境生态友好、产品绿色安全、田园风光秀美的农业可持续发展格局。</w:t>
      </w:r>
    </w:p>
    <w:p w14:paraId="5935EA9C">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（一）回收体系的建设</w:t>
      </w:r>
    </w:p>
    <w:p w14:paraId="04764129">
      <w:pPr>
        <w:adjustRightInd w:val="0"/>
        <w:snapToGrid w:val="0"/>
        <w:spacing w:line="60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1、基层回收点：各</w:t>
      </w:r>
      <w:r>
        <w:rPr>
          <w:rFonts w:hint="eastAsia" w:ascii="仿宋_GB2312" w:hAnsi="宋体" w:eastAsia="仿宋_GB2312"/>
          <w:color w:val="000000"/>
          <w:sz w:val="32"/>
          <w:szCs w:val="32"/>
        </w:rPr>
        <w:t>镇（街道）推荐确定回收点，负责从农户和各农业经营主体收集废旧农膜。回收点应做到以下几点要求：1、负责做好回收点场地环境卫生。2、有固定的防渗避雨场所，用于分类堆放废旧农膜。3、专人负责按照要求做好废旧农膜回收台账。</w:t>
      </w:r>
    </w:p>
    <w:p w14:paraId="47AE773E">
      <w:pPr>
        <w:tabs>
          <w:tab w:val="left" w:pos="500"/>
        </w:tabs>
        <w:adjustRightInd w:val="0"/>
        <w:snapToGrid w:val="0"/>
        <w:spacing w:line="60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2、</w:t>
      </w:r>
      <w:bookmarkStart w:id="0" w:name="_Hlk156813242"/>
      <w:r>
        <w:rPr>
          <w:rFonts w:hint="eastAsia" w:ascii="仿宋_GB2312" w:hAnsi="宋体" w:eastAsia="仿宋_GB2312"/>
          <w:b/>
          <w:color w:val="000000"/>
          <w:sz w:val="32"/>
          <w:szCs w:val="32"/>
        </w:rPr>
        <w:t>市级收集存放点</w:t>
      </w:r>
      <w:bookmarkEnd w:id="0"/>
      <w:r>
        <w:rPr>
          <w:rFonts w:hint="eastAsia" w:ascii="仿宋_GB2312" w:hAnsi="宋体" w:eastAsia="仿宋_GB2312"/>
          <w:b/>
          <w:color w:val="000000"/>
          <w:sz w:val="32"/>
          <w:szCs w:val="32"/>
        </w:rPr>
        <w:t>：</w:t>
      </w:r>
      <w:r>
        <w:rPr>
          <w:rFonts w:hint="eastAsia" w:ascii="仿宋_GB2312" w:hAnsi="宋体" w:eastAsia="仿宋_GB2312"/>
          <w:bCs/>
          <w:color w:val="000000"/>
          <w:sz w:val="32"/>
          <w:szCs w:val="32"/>
        </w:rPr>
        <w:t>采购1家市级收集存放点，</w:t>
      </w:r>
      <w:r>
        <w:rPr>
          <w:rFonts w:hint="eastAsia" w:ascii="仿宋_GB2312" w:hAnsi="宋体" w:eastAsia="仿宋_GB2312"/>
          <w:color w:val="000000"/>
          <w:sz w:val="32"/>
          <w:szCs w:val="32"/>
        </w:rPr>
        <w:t>负责从</w:t>
      </w:r>
      <w:r>
        <w:rPr>
          <w:rFonts w:hint="eastAsia" w:ascii="仿宋_GB2312" w:hAnsi="宋体" w:eastAsia="仿宋_GB2312"/>
          <w:bCs/>
          <w:color w:val="000000"/>
          <w:sz w:val="32"/>
          <w:szCs w:val="32"/>
        </w:rPr>
        <w:t>基层回收点转运废旧农膜到市级存放点集中存放</w:t>
      </w:r>
      <w:r>
        <w:rPr>
          <w:rFonts w:hint="eastAsia" w:ascii="仿宋_GB2312" w:hAnsi="宋体" w:eastAsia="仿宋_GB2312"/>
          <w:color w:val="000000"/>
          <w:sz w:val="32"/>
          <w:szCs w:val="32"/>
        </w:rPr>
        <w:t>，进行分类整理，再联系有资质的企业进行无害化处理，同时做好转运和处置等台账资料，随时接受相关部门检查。市级收集存放点应符合以下要求：1、贮存设施要有防雨、防晒、防火、防渗措施；2、贮存设施要配备安全照明设施和应急防护设施等；</w:t>
      </w:r>
      <w:r>
        <w:rPr>
          <w:rFonts w:ascii="仿宋_GB2312" w:hAnsi="宋体" w:eastAsia="仿宋_GB2312"/>
          <w:color w:val="000000"/>
          <w:sz w:val="32"/>
          <w:szCs w:val="32"/>
        </w:rPr>
        <w:t>3</w:t>
      </w:r>
      <w:r>
        <w:rPr>
          <w:rFonts w:hint="eastAsia" w:ascii="仿宋_GB2312" w:hAnsi="宋体" w:eastAsia="仿宋_GB2312"/>
          <w:color w:val="000000"/>
          <w:sz w:val="32"/>
          <w:szCs w:val="32"/>
        </w:rPr>
        <w:t>、建立完整的回收处置台账；</w:t>
      </w:r>
      <w:r>
        <w:rPr>
          <w:rFonts w:ascii="仿宋_GB2312" w:hAnsi="宋体" w:eastAsia="仿宋_GB2312"/>
          <w:color w:val="000000"/>
          <w:sz w:val="32"/>
          <w:szCs w:val="32"/>
        </w:rPr>
        <w:t>4</w:t>
      </w:r>
      <w:r>
        <w:rPr>
          <w:rFonts w:hint="eastAsia" w:ascii="仿宋_GB2312" w:hAnsi="宋体" w:eastAsia="仿宋_GB2312"/>
          <w:color w:val="000000"/>
          <w:sz w:val="32"/>
          <w:szCs w:val="32"/>
        </w:rPr>
        <w:t>、建有一支回收处置队伍。</w:t>
      </w:r>
    </w:p>
    <w:p w14:paraId="0B216BF4">
      <w:pPr>
        <w:tabs>
          <w:tab w:val="left" w:pos="500"/>
        </w:tabs>
        <w:adjustRightInd w:val="0"/>
        <w:snapToGrid w:val="0"/>
        <w:spacing w:line="600" w:lineRule="exact"/>
        <w:ind w:firstLine="641"/>
        <w:rPr>
          <w:rFonts w:ascii="仿宋_GB2312" w:hAnsi="宋体" w:eastAsia="仿宋_GB2312"/>
          <w:color w:val="000000"/>
          <w:sz w:val="32"/>
          <w:szCs w:val="32"/>
        </w:rPr>
      </w:pPr>
      <w:r>
        <w:rPr>
          <w:rFonts w:hint="eastAsia" w:ascii="仿宋_GB2312" w:hAnsi="宋体" w:eastAsia="仿宋_GB2312"/>
          <w:b/>
          <w:color w:val="000000"/>
          <w:sz w:val="32"/>
          <w:szCs w:val="32"/>
        </w:rPr>
        <w:t>3、无害化处置单位：</w:t>
      </w:r>
      <w:r>
        <w:rPr>
          <w:rFonts w:hint="eastAsia" w:ascii="仿宋_GB2312" w:hAnsi="宋体" w:eastAsia="仿宋_GB2312"/>
          <w:color w:val="000000"/>
          <w:sz w:val="32"/>
          <w:szCs w:val="32"/>
        </w:rPr>
        <w:t>以具有无害化处置资质的溧阳市欣峰废弃物综合处置有限公司等为处置单位，由市级存放点与其签订处置协议。同时，委托第三方审计单位，对回收、处置过程和重量进行跟踪审计。</w:t>
      </w:r>
    </w:p>
    <w:p w14:paraId="1C372EBC">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（二）开展废旧农膜回收宣传</w:t>
      </w:r>
    </w:p>
    <w:p w14:paraId="0C089387">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通过会议、网络、培训等多种途径，发放宣传单、悬挂条幅等多种形式，对农膜经营单位、种植大户、专业合作社及农户开展废旧农膜回收宣传工作</w:t>
      </w:r>
      <w:bookmarkStart w:id="1" w:name="_Hlk173754314"/>
      <w:r>
        <w:rPr>
          <w:rFonts w:hint="eastAsia" w:ascii="仿宋_GB2312" w:hAnsi="宋体" w:eastAsia="仿宋_GB2312"/>
          <w:color w:val="000000"/>
          <w:sz w:val="32"/>
          <w:szCs w:val="32"/>
        </w:rPr>
        <w:t>。</w:t>
      </w:r>
      <w:bookmarkEnd w:id="1"/>
    </w:p>
    <w:p w14:paraId="4010627B">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（三）制定回收激励措施</w:t>
      </w:r>
    </w:p>
    <w:p w14:paraId="4F9EEA9D">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为了保障废旧农膜的回收效果，调动农膜经营者和使用者的回收积极性，将制定相关的回收激励措施，按照其回收的重量对基层回收点进行奖励。基层回收</w:t>
      </w:r>
      <w:bookmarkStart w:id="2" w:name="_Hlk173136110"/>
      <w:r>
        <w:rPr>
          <w:rFonts w:hint="eastAsia" w:ascii="仿宋_GB2312" w:hAnsi="宋体" w:eastAsia="仿宋_GB2312"/>
          <w:color w:val="000000"/>
          <w:sz w:val="32"/>
          <w:szCs w:val="32"/>
        </w:rPr>
        <w:t>激励费</w:t>
      </w:r>
      <w:bookmarkEnd w:id="2"/>
      <w:r>
        <w:rPr>
          <w:rFonts w:hint="eastAsia" w:ascii="仿宋_GB2312" w:hAnsi="宋体" w:eastAsia="仿宋_GB2312"/>
          <w:color w:val="000000"/>
          <w:sz w:val="32"/>
          <w:szCs w:val="32"/>
        </w:rPr>
        <w:t>暂按3.1元/斤，市级存放点回收激励费暂按1.3元/斤,处置费暂按500元/吨计算。</w:t>
      </w:r>
    </w:p>
    <w:p w14:paraId="2FE2BC6D">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（四）开展地膜残留监测</w:t>
      </w:r>
      <w:bookmarkStart w:id="3" w:name="_Hlk173753485"/>
      <w:r>
        <w:rPr>
          <w:rFonts w:hint="eastAsia" w:hAnsi="仿宋_GB2312" w:eastAsia="仿宋_GB2312"/>
          <w:bCs/>
          <w:sz w:val="32"/>
          <w:szCs w:val="32"/>
        </w:rPr>
        <w:t>(委托高校</w:t>
      </w:r>
      <w:r>
        <w:rPr>
          <w:rFonts w:hint="eastAsia" w:hAnsi="仿宋_GB2312" w:eastAsia="仿宋_GB2312"/>
          <w:bCs/>
          <w:sz w:val="32"/>
          <w:szCs w:val="32"/>
          <w:lang w:eastAsia="zh-CN"/>
        </w:rPr>
        <w:t>等</w:t>
      </w:r>
      <w:r>
        <w:rPr>
          <w:rFonts w:hint="eastAsia" w:hAnsi="仿宋_GB2312" w:eastAsia="仿宋_GB2312"/>
          <w:bCs/>
          <w:sz w:val="32"/>
          <w:szCs w:val="32"/>
        </w:rPr>
        <w:t>)</w:t>
      </w:r>
      <w:bookmarkEnd w:id="3"/>
    </w:p>
    <w:p w14:paraId="4A582773">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在全市建立16个地膜残留点开展监测，</w:t>
      </w:r>
      <w:r>
        <w:rPr>
          <w:rFonts w:hint="eastAsia" w:hAnsi="仿宋_GB2312" w:eastAsia="仿宋_GB2312"/>
          <w:bCs/>
          <w:sz w:val="32"/>
          <w:szCs w:val="32"/>
        </w:rPr>
        <w:t>有效监测我市重点用膜作物及主要用膜镇地膜残留情况</w:t>
      </w:r>
      <w:r>
        <w:rPr>
          <w:rFonts w:hint="eastAsia" w:ascii="仿宋_GB2312" w:hAnsi="宋体" w:eastAsia="仿宋_GB2312"/>
          <w:color w:val="000000"/>
          <w:sz w:val="32"/>
          <w:szCs w:val="32"/>
        </w:rPr>
        <w:t>。</w:t>
      </w:r>
    </w:p>
    <w:p w14:paraId="4E171C2E">
      <w:pPr>
        <w:spacing w:line="560" w:lineRule="exact"/>
        <w:ind w:firstLine="64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（五）地膜减量替代技术试验示范</w:t>
      </w:r>
      <w:r>
        <w:rPr>
          <w:rFonts w:hint="eastAsia" w:hAnsi="仿宋_GB2312" w:eastAsia="仿宋_GB2312"/>
          <w:bCs/>
          <w:sz w:val="32"/>
          <w:szCs w:val="32"/>
        </w:rPr>
        <w:t>(委托高校</w:t>
      </w:r>
      <w:r>
        <w:rPr>
          <w:rFonts w:hint="eastAsia" w:hAnsi="仿宋_GB2312" w:eastAsia="仿宋_GB2312"/>
          <w:bCs/>
          <w:sz w:val="32"/>
          <w:szCs w:val="32"/>
          <w:lang w:eastAsia="zh-CN"/>
        </w:rPr>
        <w:t>等</w:t>
      </w:r>
      <w:r>
        <w:rPr>
          <w:rFonts w:hint="eastAsia" w:hAnsi="仿宋_GB2312" w:eastAsia="仿宋_GB2312"/>
          <w:bCs/>
          <w:sz w:val="32"/>
          <w:szCs w:val="32"/>
        </w:rPr>
        <w:t>)</w:t>
      </w:r>
      <w:r>
        <w:rPr>
          <w:rFonts w:hint="eastAsia" w:hAnsi="仿宋_GB2312" w:eastAsia="仿宋_GB2312"/>
          <w:bCs/>
          <w:sz w:val="32"/>
          <w:szCs w:val="32"/>
          <w:lang w:eastAsia="zh-CN"/>
        </w:rPr>
        <w:t>、加厚高强度地膜推广应用。</w:t>
      </w:r>
    </w:p>
    <w:p w14:paraId="1884C53A">
      <w:pPr>
        <w:ind w:firstLine="468" w:firstLineChars="150"/>
        <w:rPr>
          <w:rFonts w:ascii="仿宋_GB2312" w:hAnsi="Calibri" w:eastAsia="仿宋_GB2312"/>
          <w:spacing w:val="-4"/>
          <w:sz w:val="32"/>
          <w:szCs w:val="32"/>
        </w:rPr>
      </w:pPr>
      <w:r>
        <w:rPr>
          <w:rFonts w:hint="eastAsia" w:ascii="仿宋_GB2312" w:hAnsi="Calibri" w:eastAsia="仿宋_GB2312"/>
          <w:spacing w:val="-4"/>
          <w:sz w:val="32"/>
          <w:szCs w:val="32"/>
        </w:rPr>
        <w:t>开展全生物降解膜、</w:t>
      </w:r>
      <w:r>
        <w:rPr>
          <w:rFonts w:hint="eastAsia" w:ascii="仿宋_GB2312" w:hAnsi="仿宋_GB2312" w:eastAsia="仿宋_GB2312"/>
          <w:sz w:val="32"/>
          <w:szCs w:val="32"/>
        </w:rPr>
        <w:t>加厚膜</w:t>
      </w:r>
      <w:r>
        <w:rPr>
          <w:rFonts w:hint="eastAsia" w:ascii="仿宋_GB2312" w:hAnsi="宋体" w:eastAsia="仿宋_GB2312"/>
          <w:color w:val="000000"/>
          <w:sz w:val="32"/>
          <w:szCs w:val="32"/>
        </w:rPr>
        <w:t>技术</w:t>
      </w:r>
      <w:r>
        <w:rPr>
          <w:rFonts w:hint="eastAsia" w:ascii="仿宋_GB2312" w:hAnsi="仿宋_GB2312" w:eastAsia="仿宋_GB2312"/>
          <w:sz w:val="32"/>
          <w:szCs w:val="32"/>
        </w:rPr>
        <w:t>试验示范</w:t>
      </w:r>
      <w:r>
        <w:rPr>
          <w:rFonts w:hint="eastAsia" w:ascii="仿宋_GB2312" w:hAnsi="宋体" w:eastAsia="仿宋_GB2312"/>
          <w:bCs/>
          <w:sz w:val="32"/>
          <w:szCs w:val="32"/>
        </w:rPr>
        <w:t>。</w:t>
      </w:r>
    </w:p>
    <w:p w14:paraId="7BE67FE6">
      <w:pPr>
        <w:spacing w:line="560" w:lineRule="exact"/>
        <w:ind w:firstLine="64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（六）创建五有标准回收网点</w:t>
      </w:r>
      <w:r>
        <w:rPr>
          <w:rFonts w:hint="eastAsia" w:ascii="仿宋_GB2312" w:hAnsi="宋体" w:eastAsia="仿宋_GB2312"/>
          <w:color w:val="000000"/>
          <w:sz w:val="32"/>
          <w:szCs w:val="32"/>
          <w:lang w:eastAsia="zh-CN"/>
        </w:rPr>
        <w:t>（奖补）</w:t>
      </w:r>
    </w:p>
    <w:p w14:paraId="0713DB89">
      <w:pPr>
        <w:spacing w:line="560" w:lineRule="exact"/>
        <w:ind w:firstLine="640"/>
        <w:rPr>
          <w:rFonts w:ascii="仿宋_GB2312" w:hAnsi="宋体" w:eastAsia="仿宋_GB2312"/>
          <w:color w:val="000000"/>
          <w:sz w:val="32"/>
          <w:szCs w:val="32"/>
        </w:rPr>
      </w:pPr>
      <w:r>
        <w:rPr>
          <w:rFonts w:hint="eastAsia" w:ascii="仿宋_GB2312" w:hAnsi="宋体" w:eastAsia="仿宋_GB2312"/>
          <w:color w:val="000000"/>
          <w:sz w:val="32"/>
          <w:szCs w:val="32"/>
        </w:rPr>
        <w:t>提升回收点服务质量，依据相关要求创建1个回收点，使其达到五有标准，即:有统一标牌、有防渗场地、有废膜存量、有专职人员、有完整台账资料。</w:t>
      </w:r>
    </w:p>
    <w:p w14:paraId="1E9B7263">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三、经费预算</w:t>
      </w:r>
    </w:p>
    <w:p w14:paraId="4C800247">
      <w:pPr>
        <w:spacing w:line="520" w:lineRule="exact"/>
        <w:ind w:firstLine="640"/>
        <w:rPr>
          <w:rFonts w:ascii="仿宋_GB2312" w:hAnsi="宋体" w:eastAsia="仿宋_GB2312"/>
          <w:color w:val="000000"/>
          <w:sz w:val="32"/>
          <w:szCs w:val="32"/>
        </w:rPr>
      </w:pPr>
      <w:r>
        <w:rPr>
          <w:rFonts w:eastAsia="仿宋_GB2312"/>
          <w:b/>
          <w:sz w:val="32"/>
          <w:szCs w:val="32"/>
        </w:rPr>
        <w:t>（一）资金来源。</w:t>
      </w:r>
      <w:r>
        <w:rPr>
          <w:rFonts w:ascii="仿宋_GB2312" w:hAnsi="宋体" w:eastAsia="仿宋_GB2312"/>
          <w:color w:val="000000"/>
          <w:sz w:val="32"/>
          <w:szCs w:val="32"/>
        </w:rPr>
        <w:t>总资金为</w:t>
      </w:r>
      <w:r>
        <w:rPr>
          <w:rFonts w:hint="eastAsia" w:ascii="仿宋_GB2312" w:hAnsi="宋体" w:eastAsia="仿宋_GB2312"/>
          <w:color w:val="000000"/>
          <w:sz w:val="32"/>
          <w:szCs w:val="32"/>
        </w:rPr>
        <w:t>155</w:t>
      </w:r>
      <w:r>
        <w:rPr>
          <w:rFonts w:ascii="仿宋_GB2312" w:hAnsi="宋体" w:eastAsia="仿宋_GB2312"/>
          <w:color w:val="000000"/>
          <w:sz w:val="32"/>
          <w:szCs w:val="32"/>
        </w:rPr>
        <w:t>万元，来源为省级农业生态保护与资源利用补助专项资金</w:t>
      </w:r>
      <w:r>
        <w:rPr>
          <w:rFonts w:hint="eastAsia" w:ascii="仿宋_GB2312" w:hAnsi="宋体" w:eastAsia="仿宋_GB2312"/>
          <w:color w:val="000000"/>
          <w:sz w:val="32"/>
          <w:szCs w:val="32"/>
        </w:rPr>
        <w:t>140</w:t>
      </w:r>
      <w:r>
        <w:rPr>
          <w:rFonts w:ascii="仿宋_GB2312" w:hAnsi="宋体" w:eastAsia="仿宋_GB2312"/>
          <w:color w:val="000000"/>
          <w:sz w:val="32"/>
          <w:szCs w:val="32"/>
        </w:rPr>
        <w:t>万元，溧阳市级财政</w:t>
      </w:r>
      <w:r>
        <w:rPr>
          <w:rFonts w:eastAsia="仿宋_GB2312"/>
          <w:color w:val="000000"/>
          <w:sz w:val="32"/>
          <w:szCs w:val="32"/>
        </w:rPr>
        <w:t>三农大预算中废旧农膜回收经费</w:t>
      </w:r>
      <w:r>
        <w:rPr>
          <w:rFonts w:hint="eastAsia" w:eastAsia="仿宋_GB2312"/>
          <w:color w:val="000000" w:themeColor="text1"/>
          <w:sz w:val="32"/>
          <w:szCs w:val="32"/>
          <w14:textFill>
            <w14:solidFill>
              <w14:schemeClr w14:val="tx1"/>
            </w14:solidFill>
          </w14:textFill>
        </w:rPr>
        <w:t>15</w:t>
      </w:r>
      <w:r>
        <w:rPr>
          <w:rFonts w:eastAsia="仿宋_GB2312"/>
          <w:color w:val="000000"/>
          <w:sz w:val="32"/>
          <w:szCs w:val="32"/>
        </w:rPr>
        <w:t>万元，</w:t>
      </w:r>
      <w:r>
        <w:rPr>
          <w:rFonts w:eastAsia="仿宋_GB2312"/>
          <w:color w:val="000000" w:themeColor="text1"/>
          <w:sz w:val="32"/>
          <w:szCs w:val="32"/>
          <w14:textFill>
            <w14:solidFill>
              <w14:schemeClr w14:val="tx1"/>
            </w14:solidFill>
          </w14:textFill>
        </w:rPr>
        <w:t>具体以资金分配文件为准</w:t>
      </w:r>
      <w:r>
        <w:rPr>
          <w:rFonts w:eastAsia="仿宋_GB2312"/>
          <w:color w:val="000000"/>
          <w:sz w:val="32"/>
          <w:szCs w:val="32"/>
        </w:rPr>
        <w:t>。</w:t>
      </w:r>
    </w:p>
    <w:p w14:paraId="65E42E1D">
      <w:pPr>
        <w:spacing w:line="520" w:lineRule="exact"/>
        <w:ind w:firstLine="640"/>
        <w:rPr>
          <w:rFonts w:ascii="仿宋_GB2312" w:hAnsi="仿宋" w:eastAsia="仿宋_GB2312"/>
          <w:b/>
          <w:sz w:val="32"/>
          <w:szCs w:val="32"/>
        </w:rPr>
      </w:pPr>
      <w:r>
        <w:rPr>
          <w:rFonts w:hint="eastAsia" w:ascii="仿宋_GB2312" w:hAnsi="仿宋" w:eastAsia="仿宋_GB2312"/>
          <w:b/>
          <w:sz w:val="32"/>
          <w:szCs w:val="32"/>
        </w:rPr>
        <w:t>（二）明细预算</w:t>
      </w:r>
    </w:p>
    <w:p w14:paraId="7DCA03F2">
      <w:pPr>
        <w:spacing w:line="520" w:lineRule="exact"/>
        <w:ind w:firstLine="640"/>
        <w:jc w:val="right"/>
        <w:rPr>
          <w:rFonts w:ascii="仿宋_GB2312" w:hAnsi="仿宋" w:eastAsia="仿宋_GB2312"/>
          <w:sz w:val="32"/>
          <w:szCs w:val="32"/>
        </w:rPr>
      </w:pPr>
      <w:r>
        <w:rPr>
          <w:rFonts w:hint="eastAsia" w:ascii="仿宋_GB2312" w:hAnsi="仿宋" w:eastAsia="仿宋_GB2312"/>
          <w:sz w:val="32"/>
          <w:szCs w:val="32"/>
        </w:rPr>
        <w:t>单位：万元</w:t>
      </w:r>
    </w:p>
    <w:tbl>
      <w:tblPr>
        <w:tblStyle w:val="6"/>
        <w:tblW w:w="9073"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13"/>
        <w:gridCol w:w="2267"/>
        <w:gridCol w:w="974"/>
        <w:gridCol w:w="3119"/>
      </w:tblGrid>
      <w:tr w14:paraId="02CD23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3" w:type="dxa"/>
            <w:vAlign w:val="center"/>
          </w:tcPr>
          <w:p w14:paraId="4A064CF4">
            <w:pPr>
              <w:jc w:val="center"/>
              <w:rPr>
                <w:rFonts w:ascii="仿宋_GB2312" w:eastAsia="仿宋_GB2312" w:hAnsiTheme="minorEastAsia"/>
                <w:sz w:val="28"/>
                <w:szCs w:val="28"/>
              </w:rPr>
            </w:pPr>
            <w:r>
              <w:rPr>
                <w:rFonts w:hint="eastAsia" w:ascii="仿宋_GB2312" w:eastAsia="仿宋_GB2312" w:hAnsiTheme="minorEastAsia"/>
                <w:sz w:val="28"/>
                <w:szCs w:val="28"/>
              </w:rPr>
              <w:t>实施内容</w:t>
            </w:r>
          </w:p>
        </w:tc>
        <w:tc>
          <w:tcPr>
            <w:tcW w:w="2267" w:type="dxa"/>
            <w:vAlign w:val="center"/>
          </w:tcPr>
          <w:p w14:paraId="6EC31829">
            <w:pPr>
              <w:jc w:val="center"/>
              <w:rPr>
                <w:rFonts w:ascii="仿宋_GB2312" w:eastAsia="仿宋_GB2312" w:hAnsiTheme="minorEastAsia"/>
                <w:sz w:val="28"/>
                <w:szCs w:val="28"/>
              </w:rPr>
            </w:pPr>
            <w:r>
              <w:rPr>
                <w:rFonts w:hint="eastAsia" w:ascii="仿宋_GB2312" w:eastAsia="仿宋_GB2312" w:hAnsiTheme="minorEastAsia"/>
                <w:sz w:val="28"/>
                <w:szCs w:val="28"/>
              </w:rPr>
              <w:t>资金/补助标准</w:t>
            </w:r>
          </w:p>
        </w:tc>
        <w:tc>
          <w:tcPr>
            <w:tcW w:w="974" w:type="dxa"/>
            <w:vAlign w:val="center"/>
          </w:tcPr>
          <w:p w14:paraId="4D82CFD6">
            <w:pPr>
              <w:jc w:val="center"/>
              <w:rPr>
                <w:rFonts w:ascii="仿宋_GB2312" w:eastAsia="仿宋_GB2312" w:hAnsiTheme="minorEastAsia"/>
                <w:sz w:val="28"/>
                <w:szCs w:val="28"/>
              </w:rPr>
            </w:pPr>
            <w:r>
              <w:rPr>
                <w:rFonts w:hint="eastAsia" w:ascii="仿宋_GB2312" w:eastAsia="仿宋_GB2312" w:hAnsiTheme="minorEastAsia"/>
                <w:sz w:val="28"/>
                <w:szCs w:val="28"/>
              </w:rPr>
              <w:t>资金来源</w:t>
            </w:r>
          </w:p>
        </w:tc>
        <w:tc>
          <w:tcPr>
            <w:tcW w:w="3119" w:type="dxa"/>
            <w:vAlign w:val="center"/>
          </w:tcPr>
          <w:p w14:paraId="2E6C10CC">
            <w:pPr>
              <w:jc w:val="center"/>
              <w:rPr>
                <w:rFonts w:ascii="仿宋_GB2312" w:eastAsia="仿宋_GB2312" w:hAnsiTheme="minorEastAsia"/>
                <w:sz w:val="28"/>
                <w:szCs w:val="28"/>
              </w:rPr>
            </w:pPr>
            <w:r>
              <w:rPr>
                <w:rFonts w:hint="eastAsia" w:ascii="仿宋_GB2312" w:eastAsia="仿宋_GB2312" w:hAnsiTheme="minorEastAsia"/>
                <w:sz w:val="28"/>
                <w:szCs w:val="28"/>
              </w:rPr>
              <w:t>备注</w:t>
            </w:r>
          </w:p>
        </w:tc>
      </w:tr>
      <w:tr w14:paraId="62EEF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3" w:type="dxa"/>
            <w:vAlign w:val="center"/>
          </w:tcPr>
          <w:p w14:paraId="2EFE8F07">
            <w:pPr>
              <w:jc w:val="center"/>
              <w:rPr>
                <w:rFonts w:ascii="仿宋_GB2312" w:eastAsia="仿宋_GB2312" w:hAnsiTheme="minorEastAsia"/>
                <w:color w:val="000000"/>
                <w:sz w:val="24"/>
              </w:rPr>
            </w:pPr>
            <w:r>
              <w:rPr>
                <w:rFonts w:hint="eastAsia" w:ascii="仿宋_GB2312" w:hAnsi="宋体" w:eastAsia="仿宋_GB2312"/>
                <w:color w:val="000000"/>
                <w:sz w:val="24"/>
              </w:rPr>
              <w:t>基层回收点激励费用</w:t>
            </w:r>
          </w:p>
        </w:tc>
        <w:tc>
          <w:tcPr>
            <w:tcW w:w="2267" w:type="dxa"/>
            <w:vAlign w:val="center"/>
          </w:tcPr>
          <w:p w14:paraId="76C1D3AF">
            <w:pPr>
              <w:jc w:val="center"/>
              <w:rPr>
                <w:rFonts w:ascii="仿宋_GB2312" w:eastAsia="仿宋_GB2312" w:hAnsiTheme="minorEastAsia"/>
                <w:sz w:val="24"/>
              </w:rPr>
            </w:pPr>
            <w:r>
              <w:rPr>
                <w:rFonts w:hint="eastAsia" w:ascii="仿宋_GB2312" w:eastAsia="仿宋_GB2312" w:hAnsiTheme="minorEastAsia"/>
                <w:color w:val="000000" w:themeColor="text1"/>
                <w:sz w:val="24"/>
                <w14:textFill>
                  <w14:solidFill>
                    <w14:schemeClr w14:val="tx1"/>
                  </w14:solidFill>
                </w14:textFill>
              </w:rPr>
              <w:t>3.1</w:t>
            </w:r>
            <w:r>
              <w:rPr>
                <w:rFonts w:hint="eastAsia" w:ascii="仿宋_GB2312" w:eastAsia="仿宋_GB2312" w:hAnsiTheme="minorEastAsia"/>
                <w:sz w:val="24"/>
              </w:rPr>
              <w:t>元/斤</w:t>
            </w:r>
          </w:p>
        </w:tc>
        <w:tc>
          <w:tcPr>
            <w:tcW w:w="974" w:type="dxa"/>
            <w:vAlign w:val="center"/>
          </w:tcPr>
          <w:p w14:paraId="04E2E01B">
            <w:pPr>
              <w:jc w:val="center"/>
              <w:rPr>
                <w:rFonts w:ascii="仿宋_GB2312" w:eastAsia="仿宋_GB2312" w:hAnsiTheme="minorEastAsia"/>
                <w:sz w:val="24"/>
              </w:rPr>
            </w:pPr>
          </w:p>
        </w:tc>
        <w:tc>
          <w:tcPr>
            <w:tcW w:w="3119" w:type="dxa"/>
            <w:vAlign w:val="center"/>
          </w:tcPr>
          <w:p w14:paraId="0EBC2548">
            <w:pPr>
              <w:jc w:val="left"/>
              <w:rPr>
                <w:rFonts w:ascii="仿宋_GB2312" w:eastAsia="仿宋_GB2312" w:hAnsiTheme="minorEastAsia"/>
                <w:sz w:val="24"/>
              </w:rPr>
            </w:pPr>
            <w:r>
              <w:rPr>
                <w:rFonts w:hint="eastAsia" w:ascii="仿宋_GB2312" w:eastAsia="仿宋_GB2312" w:hAnsiTheme="minorEastAsia"/>
                <w:sz w:val="24"/>
              </w:rPr>
              <w:t>回收废旧地膜暂按120吨计算。项目验收后</w:t>
            </w:r>
            <w:r>
              <w:rPr>
                <w:rFonts w:hint="eastAsia" w:ascii="仿宋_GB2312" w:hAnsi="宋体" w:eastAsia="仿宋_GB2312"/>
                <w:color w:val="000000"/>
                <w:sz w:val="24"/>
              </w:rPr>
              <w:t>基层回收点激励费</w:t>
            </w:r>
            <w:r>
              <w:rPr>
                <w:rFonts w:hint="eastAsia" w:ascii="仿宋_GB2312" w:eastAsia="仿宋_GB2312" w:hAnsiTheme="minorEastAsia"/>
                <w:sz w:val="24"/>
              </w:rPr>
              <w:t>由市级存放点垫付资金转账至各回收点</w:t>
            </w:r>
          </w:p>
        </w:tc>
      </w:tr>
      <w:tr w14:paraId="6F196A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3" w:type="dxa"/>
            <w:vAlign w:val="center"/>
          </w:tcPr>
          <w:p w14:paraId="3E84CA00">
            <w:pPr>
              <w:jc w:val="center"/>
              <w:rPr>
                <w:rFonts w:ascii="仿宋_GB2312" w:hAnsi="宋体" w:eastAsia="仿宋_GB2312"/>
                <w:color w:val="000000"/>
                <w:sz w:val="24"/>
              </w:rPr>
            </w:pPr>
            <w:r>
              <w:rPr>
                <w:rFonts w:hint="eastAsia" w:ascii="仿宋_GB2312" w:hAnsi="宋体" w:eastAsia="仿宋_GB2312"/>
                <w:color w:val="000000"/>
                <w:sz w:val="24"/>
              </w:rPr>
              <w:t>市级存放点</w:t>
            </w:r>
            <w:r>
              <w:rPr>
                <w:rFonts w:hint="eastAsia" w:ascii="仿宋_GB2312" w:eastAsia="仿宋_GB2312" w:hAnsiTheme="minorEastAsia"/>
                <w:color w:val="000000"/>
                <w:sz w:val="24"/>
              </w:rPr>
              <w:t>激励</w:t>
            </w:r>
            <w:r>
              <w:rPr>
                <w:rFonts w:hint="eastAsia" w:ascii="仿宋_GB2312" w:hAnsi="宋体" w:eastAsia="仿宋_GB2312"/>
                <w:color w:val="000000"/>
                <w:sz w:val="24"/>
              </w:rPr>
              <w:t>费用</w:t>
            </w:r>
          </w:p>
        </w:tc>
        <w:tc>
          <w:tcPr>
            <w:tcW w:w="2267" w:type="dxa"/>
            <w:vAlign w:val="center"/>
          </w:tcPr>
          <w:p w14:paraId="07463433">
            <w:pPr>
              <w:jc w:val="center"/>
              <w:rPr>
                <w:rFonts w:ascii="仿宋_GB2312" w:eastAsia="仿宋_GB2312" w:hAnsiTheme="minorEastAsia"/>
                <w:color w:val="000000" w:themeColor="text1"/>
                <w:sz w:val="24"/>
                <w14:textFill>
                  <w14:solidFill>
                    <w14:schemeClr w14:val="tx1"/>
                  </w14:solidFill>
                </w14:textFill>
              </w:rPr>
            </w:pPr>
            <w:r>
              <w:rPr>
                <w:rFonts w:hint="eastAsia" w:eastAsia="仿宋_GB2312"/>
                <w:sz w:val="24"/>
              </w:rPr>
              <w:t>1.</w:t>
            </w:r>
            <w:r>
              <w:rPr>
                <w:rFonts w:hint="eastAsia" w:ascii="仿宋_GB2312" w:eastAsia="仿宋_GB2312" w:hAnsiTheme="minorEastAsia"/>
                <w:sz w:val="24"/>
              </w:rPr>
              <w:t>3元/斤</w:t>
            </w:r>
          </w:p>
        </w:tc>
        <w:tc>
          <w:tcPr>
            <w:tcW w:w="974" w:type="dxa"/>
            <w:vAlign w:val="center"/>
          </w:tcPr>
          <w:p w14:paraId="2B4D45F8">
            <w:pPr>
              <w:jc w:val="center"/>
              <w:rPr>
                <w:rFonts w:ascii="仿宋_GB2312" w:eastAsia="仿宋_GB2312" w:hAnsiTheme="minorEastAsia"/>
                <w:sz w:val="24"/>
              </w:rPr>
            </w:pPr>
          </w:p>
        </w:tc>
        <w:tc>
          <w:tcPr>
            <w:tcW w:w="3119" w:type="dxa"/>
            <w:vMerge w:val="restart"/>
            <w:vAlign w:val="center"/>
          </w:tcPr>
          <w:p w14:paraId="4E8212D6">
            <w:pPr>
              <w:jc w:val="left"/>
              <w:rPr>
                <w:rFonts w:ascii="仿宋_GB2312" w:eastAsia="仿宋_GB2312" w:hAnsiTheme="minorEastAsia"/>
                <w:sz w:val="24"/>
              </w:rPr>
            </w:pPr>
            <w:r>
              <w:rPr>
                <w:rFonts w:hint="eastAsia" w:ascii="仿宋_GB2312" w:eastAsia="仿宋_GB2312" w:hAnsiTheme="minorEastAsia"/>
                <w:sz w:val="24"/>
              </w:rPr>
              <w:t>回收处置废旧地膜暂按120吨计算。实际回收处置量结算按实际发生结算</w:t>
            </w:r>
          </w:p>
        </w:tc>
      </w:tr>
      <w:tr w14:paraId="590672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3" w:type="dxa"/>
            <w:vAlign w:val="center"/>
          </w:tcPr>
          <w:p w14:paraId="051A1972">
            <w:pPr>
              <w:jc w:val="center"/>
              <w:rPr>
                <w:rFonts w:ascii="仿宋_GB2312" w:eastAsia="仿宋_GB2312" w:hAnsiTheme="minorEastAsia"/>
                <w:sz w:val="24"/>
              </w:rPr>
            </w:pPr>
            <w:r>
              <w:rPr>
                <w:rFonts w:hint="eastAsia" w:ascii="仿宋_GB2312" w:hAnsi="宋体" w:eastAsia="仿宋_GB2312"/>
                <w:color w:val="000000"/>
                <w:sz w:val="24"/>
              </w:rPr>
              <w:t>无害化处理及相关费用</w:t>
            </w:r>
          </w:p>
        </w:tc>
        <w:tc>
          <w:tcPr>
            <w:tcW w:w="2267" w:type="dxa"/>
            <w:vAlign w:val="center"/>
          </w:tcPr>
          <w:p w14:paraId="554EF03F">
            <w:pPr>
              <w:jc w:val="center"/>
              <w:rPr>
                <w:rFonts w:ascii="仿宋_GB2312" w:eastAsia="仿宋_GB2312" w:hAnsiTheme="minorEastAsia"/>
                <w:sz w:val="24"/>
              </w:rPr>
            </w:pPr>
            <w:r>
              <w:rPr>
                <w:rFonts w:hint="eastAsia" w:ascii="仿宋_GB2312" w:eastAsia="仿宋_GB2312" w:hAnsiTheme="minorEastAsia"/>
                <w:sz w:val="24"/>
              </w:rPr>
              <w:t>500元/吨</w:t>
            </w:r>
          </w:p>
        </w:tc>
        <w:tc>
          <w:tcPr>
            <w:tcW w:w="974" w:type="dxa"/>
            <w:vAlign w:val="center"/>
          </w:tcPr>
          <w:p w14:paraId="506385D0">
            <w:pPr>
              <w:jc w:val="center"/>
              <w:rPr>
                <w:rFonts w:ascii="仿宋_GB2312" w:eastAsia="仿宋_GB2312" w:hAnsiTheme="minorEastAsia"/>
                <w:sz w:val="24"/>
              </w:rPr>
            </w:pPr>
          </w:p>
        </w:tc>
        <w:tc>
          <w:tcPr>
            <w:tcW w:w="3119" w:type="dxa"/>
            <w:vMerge w:val="continue"/>
            <w:vAlign w:val="center"/>
          </w:tcPr>
          <w:p w14:paraId="1511701B">
            <w:pPr>
              <w:jc w:val="left"/>
              <w:rPr>
                <w:rFonts w:ascii="仿宋_GB2312" w:eastAsia="仿宋_GB2312" w:hAnsiTheme="minorEastAsia"/>
                <w:sz w:val="24"/>
              </w:rPr>
            </w:pPr>
          </w:p>
        </w:tc>
      </w:tr>
      <w:tr w14:paraId="5B2EC3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3" w:type="dxa"/>
            <w:vAlign w:val="center"/>
          </w:tcPr>
          <w:p w14:paraId="029F3D00">
            <w:pPr>
              <w:rPr>
                <w:rFonts w:ascii="仿宋_GB2312" w:hAnsi="宋体" w:eastAsia="仿宋_GB2312"/>
                <w:color w:val="000000"/>
                <w:sz w:val="24"/>
              </w:rPr>
            </w:pPr>
            <w:bookmarkStart w:id="4" w:name="_Hlk156914122"/>
            <w:r>
              <w:rPr>
                <w:rFonts w:hint="eastAsia" w:ascii="仿宋_GB2312" w:hAnsi="宋体" w:eastAsia="仿宋_GB2312"/>
                <w:color w:val="000000"/>
                <w:sz w:val="24"/>
              </w:rPr>
              <w:t>地膜减量替代技术试验示范</w:t>
            </w:r>
            <w:bookmarkEnd w:id="4"/>
            <w:r>
              <w:rPr>
                <w:rFonts w:hint="eastAsia" w:ascii="仿宋_GB2312" w:hAnsi="宋体" w:eastAsia="仿宋_GB2312"/>
                <w:color w:val="000000"/>
                <w:sz w:val="24"/>
              </w:rPr>
              <w:t>、农膜残留监测</w:t>
            </w:r>
          </w:p>
        </w:tc>
        <w:tc>
          <w:tcPr>
            <w:tcW w:w="2267" w:type="dxa"/>
            <w:vAlign w:val="center"/>
          </w:tcPr>
          <w:p w14:paraId="31F3E88A">
            <w:pPr>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21万</w:t>
            </w:r>
          </w:p>
        </w:tc>
        <w:tc>
          <w:tcPr>
            <w:tcW w:w="974" w:type="dxa"/>
            <w:vAlign w:val="center"/>
          </w:tcPr>
          <w:p w14:paraId="752CD12C">
            <w:pPr>
              <w:jc w:val="center"/>
              <w:rPr>
                <w:rFonts w:ascii="仿宋_GB2312" w:eastAsia="仿宋_GB2312" w:hAnsiTheme="minorEastAsia"/>
                <w:sz w:val="24"/>
              </w:rPr>
            </w:pPr>
          </w:p>
        </w:tc>
        <w:tc>
          <w:tcPr>
            <w:tcW w:w="3119" w:type="dxa"/>
            <w:vAlign w:val="center"/>
          </w:tcPr>
          <w:p w14:paraId="53616A10">
            <w:pPr>
              <w:jc w:val="left"/>
              <w:rPr>
                <w:rFonts w:ascii="仿宋_GB2312" w:eastAsia="仿宋_GB2312" w:hAnsiTheme="minorEastAsia"/>
                <w:sz w:val="24"/>
              </w:rPr>
            </w:pPr>
            <w:r>
              <w:rPr>
                <w:rFonts w:hint="eastAsia" w:ascii="仿宋_GB2312" w:hAnsi="宋体" w:eastAsia="仿宋_GB2312"/>
                <w:color w:val="000000"/>
                <w:sz w:val="24"/>
              </w:rPr>
              <w:t>地膜减量替代技术试验示范、农膜残留监测</w:t>
            </w:r>
            <w:r>
              <w:rPr>
                <w:rFonts w:hint="eastAsia" w:ascii="仿宋_GB2312" w:eastAsia="仿宋_GB2312" w:hAnsiTheme="minorEastAsia"/>
                <w:sz w:val="24"/>
              </w:rPr>
              <w:t>委托高校</w:t>
            </w:r>
            <w:r>
              <w:rPr>
                <w:rFonts w:hint="eastAsia" w:ascii="仿宋_GB2312" w:eastAsia="仿宋_GB2312" w:hAnsiTheme="minorEastAsia"/>
                <w:sz w:val="24"/>
                <w:lang w:eastAsia="zh-CN"/>
              </w:rPr>
              <w:t>等</w:t>
            </w:r>
            <w:r>
              <w:rPr>
                <w:rFonts w:hint="eastAsia" w:ascii="仿宋_GB2312" w:eastAsia="仿宋_GB2312" w:hAnsiTheme="minorEastAsia"/>
                <w:sz w:val="24"/>
              </w:rPr>
              <w:t>开展</w:t>
            </w:r>
          </w:p>
        </w:tc>
      </w:tr>
      <w:tr w14:paraId="4A6110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2713" w:type="dxa"/>
            <w:vAlign w:val="center"/>
          </w:tcPr>
          <w:p w14:paraId="382FA6C4">
            <w:pPr>
              <w:rPr>
                <w:rFonts w:hint="eastAsia" w:ascii="仿宋_GB2312" w:hAnsi="宋体" w:eastAsia="仿宋_GB2312"/>
                <w:color w:val="000000"/>
                <w:sz w:val="24"/>
                <w:lang w:eastAsia="zh-CN"/>
              </w:rPr>
            </w:pPr>
            <w:r>
              <w:rPr>
                <w:rFonts w:hint="eastAsia" w:ascii="仿宋_GB2312" w:hAnsi="宋体" w:eastAsia="仿宋_GB2312"/>
                <w:color w:val="000000"/>
                <w:sz w:val="24"/>
              </w:rPr>
              <w:t>五有网点创建</w:t>
            </w:r>
            <w:r>
              <w:rPr>
                <w:rFonts w:hint="eastAsia" w:ascii="仿宋_GB2312" w:hAnsi="宋体" w:eastAsia="仿宋_GB2312"/>
                <w:color w:val="000000"/>
                <w:sz w:val="24"/>
                <w:lang w:eastAsia="zh-CN"/>
              </w:rPr>
              <w:t>（奖补</w:t>
            </w:r>
            <w:bookmarkStart w:id="5" w:name="_GoBack"/>
            <w:bookmarkEnd w:id="5"/>
            <w:r>
              <w:rPr>
                <w:rFonts w:hint="eastAsia" w:ascii="仿宋_GB2312" w:hAnsi="宋体" w:eastAsia="仿宋_GB2312"/>
                <w:color w:val="000000"/>
                <w:sz w:val="24"/>
                <w:lang w:eastAsia="zh-CN"/>
              </w:rPr>
              <w:t>）</w:t>
            </w:r>
          </w:p>
        </w:tc>
        <w:tc>
          <w:tcPr>
            <w:tcW w:w="2267" w:type="dxa"/>
            <w:vAlign w:val="center"/>
          </w:tcPr>
          <w:p w14:paraId="171D84CC">
            <w:pPr>
              <w:jc w:val="center"/>
              <w:rPr>
                <w:rFonts w:hint="eastAsia" w:ascii="仿宋_GB2312" w:eastAsia="仿宋_GB2312" w:hAnsiTheme="minorEastAsia"/>
                <w:color w:val="000000" w:themeColor="text1"/>
                <w:sz w:val="24"/>
                <w:lang w:eastAsia="zh-CN"/>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5</w:t>
            </w:r>
            <w:r>
              <w:rPr>
                <w:rFonts w:hint="eastAsia" w:ascii="仿宋_GB2312" w:eastAsia="仿宋_GB2312" w:hAnsiTheme="minorEastAsia"/>
                <w:color w:val="000000" w:themeColor="text1"/>
                <w:sz w:val="24"/>
                <w:lang w:eastAsia="zh-CN"/>
                <w14:textFill>
                  <w14:solidFill>
                    <w14:schemeClr w14:val="tx1"/>
                  </w14:solidFill>
                </w14:textFill>
              </w:rPr>
              <w:t>万</w:t>
            </w:r>
          </w:p>
        </w:tc>
        <w:tc>
          <w:tcPr>
            <w:tcW w:w="974" w:type="dxa"/>
            <w:vAlign w:val="center"/>
          </w:tcPr>
          <w:p w14:paraId="627C468C">
            <w:pPr>
              <w:jc w:val="center"/>
              <w:rPr>
                <w:rFonts w:ascii="仿宋_GB2312" w:eastAsia="仿宋_GB2312" w:hAnsiTheme="minorEastAsia"/>
                <w:sz w:val="24"/>
              </w:rPr>
            </w:pPr>
          </w:p>
        </w:tc>
        <w:tc>
          <w:tcPr>
            <w:tcW w:w="3119" w:type="dxa"/>
            <w:vAlign w:val="center"/>
          </w:tcPr>
          <w:p w14:paraId="54AB4ACA">
            <w:pPr>
              <w:jc w:val="center"/>
              <w:rPr>
                <w:rFonts w:ascii="仿宋_GB2312" w:eastAsia="仿宋_GB2312" w:hAnsiTheme="minorEastAsia"/>
                <w:sz w:val="24"/>
              </w:rPr>
            </w:pPr>
          </w:p>
        </w:tc>
      </w:tr>
      <w:tr w14:paraId="497E18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3" w:type="dxa"/>
            <w:vAlign w:val="center"/>
          </w:tcPr>
          <w:p w14:paraId="3286BD7B">
            <w:pPr>
              <w:jc w:val="center"/>
              <w:rPr>
                <w:rFonts w:ascii="仿宋_GB2312" w:hAnsi="宋体" w:eastAsia="仿宋_GB2312"/>
                <w:color w:val="000000"/>
                <w:sz w:val="24"/>
              </w:rPr>
            </w:pPr>
            <w:r>
              <w:rPr>
                <w:rFonts w:hint="eastAsia" w:ascii="仿宋_GB2312" w:eastAsia="仿宋_GB2312" w:hAnsiTheme="minorEastAsia"/>
                <w:color w:val="000000"/>
                <w:sz w:val="24"/>
              </w:rPr>
              <w:t>招标、跟踪审计、项目验收及财务审计</w:t>
            </w:r>
            <w:r>
              <w:rPr>
                <w:rFonts w:hint="eastAsia" w:ascii="仿宋_GB2312" w:hAnsi="宋体" w:eastAsia="仿宋_GB2312"/>
                <w:color w:val="000000"/>
                <w:sz w:val="24"/>
              </w:rPr>
              <w:t>等费用</w:t>
            </w:r>
          </w:p>
        </w:tc>
        <w:tc>
          <w:tcPr>
            <w:tcW w:w="2267" w:type="dxa"/>
            <w:vAlign w:val="center"/>
          </w:tcPr>
          <w:p w14:paraId="761FE7DB">
            <w:pPr>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5万</w:t>
            </w:r>
          </w:p>
        </w:tc>
        <w:tc>
          <w:tcPr>
            <w:tcW w:w="974" w:type="dxa"/>
            <w:vAlign w:val="center"/>
          </w:tcPr>
          <w:p w14:paraId="410EA409">
            <w:pPr>
              <w:jc w:val="center"/>
              <w:rPr>
                <w:rFonts w:ascii="仿宋_GB2312" w:eastAsia="仿宋_GB2312" w:hAnsiTheme="minorEastAsia"/>
                <w:sz w:val="24"/>
              </w:rPr>
            </w:pPr>
          </w:p>
        </w:tc>
        <w:tc>
          <w:tcPr>
            <w:tcW w:w="3119" w:type="dxa"/>
            <w:vAlign w:val="center"/>
          </w:tcPr>
          <w:p w14:paraId="69B7C143">
            <w:pPr>
              <w:jc w:val="center"/>
              <w:rPr>
                <w:rFonts w:ascii="仿宋_GB2312" w:eastAsia="仿宋_GB2312" w:hAnsiTheme="minorEastAsia"/>
                <w:sz w:val="24"/>
              </w:rPr>
            </w:pPr>
          </w:p>
        </w:tc>
      </w:tr>
      <w:tr w14:paraId="640B5F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3" w:type="dxa"/>
            <w:vAlign w:val="center"/>
          </w:tcPr>
          <w:p w14:paraId="56374535">
            <w:pPr>
              <w:jc w:val="center"/>
              <w:rPr>
                <w:rFonts w:ascii="仿宋_GB2312" w:eastAsia="仿宋_GB2312" w:hAnsiTheme="minorEastAsia"/>
                <w:color w:val="000000"/>
                <w:sz w:val="24"/>
              </w:rPr>
            </w:pPr>
            <w:r>
              <w:rPr>
                <w:rFonts w:hint="eastAsia" w:ascii="仿宋_GB2312" w:hAnsi="宋体" w:eastAsia="仿宋_GB2312"/>
                <w:color w:val="000000"/>
                <w:sz w:val="24"/>
              </w:rPr>
              <w:t>会议</w:t>
            </w:r>
            <w:r>
              <w:rPr>
                <w:rFonts w:hint="eastAsia" w:ascii="仿宋_GB2312" w:eastAsia="仿宋_GB2312" w:hAnsiTheme="minorEastAsia"/>
                <w:color w:val="000000"/>
                <w:sz w:val="24"/>
              </w:rPr>
              <w:t>培训及资料印刷、宣传及其他等</w:t>
            </w:r>
          </w:p>
        </w:tc>
        <w:tc>
          <w:tcPr>
            <w:tcW w:w="2267" w:type="dxa"/>
            <w:vAlign w:val="center"/>
          </w:tcPr>
          <w:p w14:paraId="2166EAB5">
            <w:pPr>
              <w:jc w:val="center"/>
              <w:rPr>
                <w:rFonts w:ascii="仿宋_GB2312" w:eastAsia="仿宋_GB2312" w:hAnsiTheme="minorEastAsia"/>
                <w:color w:val="000000" w:themeColor="text1"/>
                <w:sz w:val="24"/>
                <w14:textFill>
                  <w14:solidFill>
                    <w14:schemeClr w14:val="tx1"/>
                  </w14:solidFill>
                </w14:textFill>
              </w:rPr>
            </w:pPr>
            <w:r>
              <w:rPr>
                <w:rFonts w:hint="eastAsia" w:ascii="仿宋_GB2312" w:eastAsia="仿宋_GB2312" w:hAnsiTheme="minorEastAsia"/>
                <w:color w:val="000000" w:themeColor="text1"/>
                <w:sz w:val="24"/>
                <w14:textFill>
                  <w14:solidFill>
                    <w14:schemeClr w14:val="tx1"/>
                  </w14:solidFill>
                </w14:textFill>
              </w:rPr>
              <w:t>12万</w:t>
            </w:r>
          </w:p>
        </w:tc>
        <w:tc>
          <w:tcPr>
            <w:tcW w:w="974" w:type="dxa"/>
            <w:vAlign w:val="center"/>
          </w:tcPr>
          <w:p w14:paraId="0446DD2D">
            <w:pPr>
              <w:jc w:val="center"/>
              <w:rPr>
                <w:rFonts w:ascii="仿宋_GB2312" w:eastAsia="仿宋_GB2312" w:hAnsiTheme="minorEastAsia"/>
                <w:sz w:val="24"/>
              </w:rPr>
            </w:pPr>
          </w:p>
        </w:tc>
        <w:tc>
          <w:tcPr>
            <w:tcW w:w="3119" w:type="dxa"/>
            <w:vAlign w:val="center"/>
          </w:tcPr>
          <w:p w14:paraId="2D9FBC66">
            <w:pPr>
              <w:jc w:val="center"/>
              <w:rPr>
                <w:rFonts w:ascii="仿宋_GB2312" w:eastAsia="仿宋_GB2312" w:hAnsiTheme="minorEastAsia"/>
                <w:sz w:val="24"/>
              </w:rPr>
            </w:pPr>
          </w:p>
        </w:tc>
      </w:tr>
    </w:tbl>
    <w:p w14:paraId="058F4A64">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四、实施进度</w:t>
      </w:r>
    </w:p>
    <w:p w14:paraId="65258F54">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本项目实施期限自</w:t>
      </w:r>
      <w:r>
        <w:rPr>
          <w:rFonts w:hint="eastAsia" w:ascii="仿宋_GB2312" w:eastAsia="仿宋_GB2312" w:hAnsiTheme="minorEastAsia"/>
          <w:color w:val="000000" w:themeColor="text1"/>
          <w:sz w:val="32"/>
          <w:szCs w:val="32"/>
          <w14:textFill>
            <w14:solidFill>
              <w14:schemeClr w14:val="tx1"/>
            </w14:solidFill>
          </w14:textFill>
        </w:rPr>
        <w:t>202</w:t>
      </w:r>
      <w:r>
        <w:rPr>
          <w:rFonts w:ascii="仿宋_GB2312" w:eastAsia="仿宋_GB2312" w:hAnsiTheme="minorEastAsia"/>
          <w:color w:val="000000" w:themeColor="text1"/>
          <w:sz w:val="32"/>
          <w:szCs w:val="32"/>
          <w14:textFill>
            <w14:solidFill>
              <w14:schemeClr w14:val="tx1"/>
            </w14:solidFill>
          </w14:textFill>
        </w:rPr>
        <w:t>4</w:t>
      </w:r>
      <w:r>
        <w:rPr>
          <w:rFonts w:hint="eastAsia" w:ascii="仿宋_GB2312" w:eastAsia="仿宋_GB2312" w:hAnsiTheme="minorEastAsia"/>
          <w:color w:val="000000" w:themeColor="text1"/>
          <w:sz w:val="32"/>
          <w:szCs w:val="32"/>
          <w14:textFill>
            <w14:solidFill>
              <w14:schemeClr w14:val="tx1"/>
            </w14:solidFill>
          </w14:textFill>
        </w:rPr>
        <w:t>年7月起至2025年6月</w:t>
      </w:r>
      <w:r>
        <w:rPr>
          <w:rFonts w:hint="eastAsia" w:ascii="仿宋_GB2312" w:eastAsia="仿宋_GB2312" w:hAnsiTheme="minorEastAsia"/>
          <w:sz w:val="32"/>
          <w:szCs w:val="32"/>
        </w:rPr>
        <w:t>止，实施进度安排如下：</w:t>
      </w:r>
    </w:p>
    <w:p w14:paraId="6CF881C6">
      <w:pPr>
        <w:spacing w:line="560" w:lineRule="exact"/>
        <w:ind w:firstLine="640"/>
        <w:rPr>
          <w:rFonts w:ascii="仿宋_GB2312" w:eastAsia="仿宋_GB2312" w:hAnsiTheme="minorEastAsia"/>
          <w:color w:val="000000"/>
          <w:sz w:val="32"/>
          <w:szCs w:val="32"/>
        </w:rPr>
      </w:pPr>
      <w:r>
        <w:rPr>
          <w:rFonts w:hint="eastAsia" w:ascii="仿宋_GB2312" w:eastAsia="仿宋_GB2312" w:hAnsiTheme="minorEastAsia"/>
          <w:sz w:val="32"/>
          <w:szCs w:val="32"/>
        </w:rPr>
        <w:t>1、</w:t>
      </w:r>
      <w:r>
        <w:rPr>
          <w:rFonts w:hint="eastAsia" w:ascii="仿宋_GB2312" w:hAnsi="宋体" w:eastAsia="仿宋_GB2312"/>
          <w:color w:val="000000" w:themeColor="text1"/>
          <w:sz w:val="32"/>
          <w:szCs w:val="32"/>
          <w14:textFill>
            <w14:solidFill>
              <w14:schemeClr w14:val="tx1"/>
            </w14:solidFill>
          </w14:textFill>
        </w:rPr>
        <w:t>20</w:t>
      </w:r>
      <w:r>
        <w:rPr>
          <w:rFonts w:hint="eastAsia" w:ascii="仿宋_GB2312" w:eastAsia="仿宋_GB2312" w:hAnsiTheme="minorEastAsia"/>
          <w:color w:val="000000" w:themeColor="text1"/>
          <w:sz w:val="32"/>
          <w:szCs w:val="32"/>
          <w14:textFill>
            <w14:solidFill>
              <w14:schemeClr w14:val="tx1"/>
            </w14:solidFill>
          </w14:textFill>
        </w:rPr>
        <w:t>2</w:t>
      </w:r>
      <w:r>
        <w:rPr>
          <w:rFonts w:ascii="仿宋_GB2312" w:eastAsia="仿宋_GB2312" w:hAnsiTheme="minorEastAsia"/>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年7月</w:t>
      </w:r>
      <w:r>
        <w:rPr>
          <w:rFonts w:hint="eastAsia" w:ascii="仿宋_GB2312" w:hAnsi="宋体" w:eastAsia="仿宋_GB2312"/>
          <w:color w:val="000000"/>
          <w:sz w:val="32"/>
          <w:szCs w:val="32"/>
        </w:rPr>
        <w:t>-202</w:t>
      </w:r>
      <w:r>
        <w:rPr>
          <w:rFonts w:ascii="仿宋_GB2312" w:eastAsia="仿宋_GB2312" w:hAnsiTheme="minorEastAsia"/>
          <w:color w:val="000000"/>
          <w:sz w:val="32"/>
          <w:szCs w:val="32"/>
        </w:rPr>
        <w:t>4</w:t>
      </w:r>
      <w:r>
        <w:rPr>
          <w:rFonts w:hint="eastAsia" w:ascii="仿宋_GB2312" w:hAnsi="宋体" w:eastAsia="仿宋_GB2312"/>
          <w:color w:val="000000"/>
          <w:sz w:val="32"/>
          <w:szCs w:val="32"/>
        </w:rPr>
        <w:t>年</w:t>
      </w:r>
      <w:r>
        <w:rPr>
          <w:rFonts w:ascii="仿宋_GB2312" w:eastAsia="仿宋_GB2312" w:hAnsiTheme="minorEastAsia"/>
          <w:color w:val="000000"/>
          <w:sz w:val="32"/>
          <w:szCs w:val="32"/>
        </w:rPr>
        <w:t>11</w:t>
      </w:r>
      <w:r>
        <w:rPr>
          <w:rFonts w:hint="eastAsia" w:ascii="仿宋_GB2312" w:hAnsi="宋体" w:eastAsia="仿宋_GB2312"/>
          <w:color w:val="000000"/>
          <w:sz w:val="32"/>
          <w:szCs w:val="32"/>
        </w:rPr>
        <w:t>月编制实施方案，布置回收任务及相关要求，开展回收宣传，回收处置工作。</w:t>
      </w:r>
    </w:p>
    <w:p w14:paraId="11C5ADEF">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w:t>
      </w:r>
      <w:r>
        <w:rPr>
          <w:rFonts w:hint="eastAsia" w:ascii="仿宋_GB2312" w:hAnsi="宋体" w:eastAsia="仿宋_GB2312"/>
          <w:color w:val="000000"/>
          <w:sz w:val="32"/>
          <w:szCs w:val="32"/>
        </w:rPr>
        <w:t>202</w:t>
      </w:r>
      <w:r>
        <w:rPr>
          <w:rFonts w:hint="eastAsia" w:ascii="仿宋_GB2312" w:eastAsia="仿宋_GB2312" w:hAnsiTheme="minorEastAsia"/>
          <w:color w:val="000000"/>
          <w:sz w:val="32"/>
          <w:szCs w:val="32"/>
        </w:rPr>
        <w:t>5</w:t>
      </w:r>
      <w:r>
        <w:rPr>
          <w:rFonts w:hint="eastAsia" w:ascii="仿宋_GB2312" w:hAnsi="宋体" w:eastAsia="仿宋_GB2312"/>
          <w:color w:val="000000"/>
          <w:sz w:val="32"/>
          <w:szCs w:val="32"/>
        </w:rPr>
        <w:t>年</w:t>
      </w:r>
      <w:r>
        <w:rPr>
          <w:rFonts w:hint="eastAsia" w:ascii="仿宋_GB2312" w:eastAsia="仿宋_GB2312" w:hAnsiTheme="minorEastAsia"/>
          <w:color w:val="000000"/>
          <w:sz w:val="32"/>
          <w:szCs w:val="32"/>
        </w:rPr>
        <w:t>6</w:t>
      </w:r>
      <w:r>
        <w:rPr>
          <w:rFonts w:hint="eastAsia" w:ascii="仿宋_GB2312" w:hAnsi="宋体" w:eastAsia="仿宋_GB2312"/>
          <w:color w:val="000000"/>
          <w:sz w:val="32"/>
          <w:szCs w:val="32"/>
        </w:rPr>
        <w:t>月项目总结和审计、项目验收和资金拨付。</w:t>
      </w:r>
    </w:p>
    <w:p w14:paraId="3D1F2A9F">
      <w:pPr>
        <w:spacing w:line="560" w:lineRule="exact"/>
        <w:ind w:firstLine="643" w:firstLineChars="200"/>
        <w:rPr>
          <w:rFonts w:eastAsia="仿宋_GB2312"/>
          <w:b/>
          <w:sz w:val="32"/>
          <w:szCs w:val="32"/>
        </w:rPr>
      </w:pPr>
    </w:p>
    <w:p w14:paraId="5AF2FDD0">
      <w:pPr>
        <w:spacing w:line="560" w:lineRule="exact"/>
        <w:ind w:firstLine="643" w:firstLineChars="200"/>
        <w:rPr>
          <w:rFonts w:eastAsia="仿宋_GB2312"/>
          <w:b/>
          <w:sz w:val="32"/>
          <w:szCs w:val="32"/>
        </w:rPr>
      </w:pPr>
    </w:p>
    <w:p w14:paraId="0A03FEFE">
      <w:pPr>
        <w:spacing w:line="560" w:lineRule="exact"/>
        <w:ind w:firstLine="643" w:firstLineChars="200"/>
        <w:rPr>
          <w:rFonts w:eastAsia="仿宋_GB2312"/>
          <w:b/>
          <w:sz w:val="32"/>
          <w:szCs w:val="32"/>
        </w:rPr>
      </w:pPr>
      <w:r>
        <w:rPr>
          <w:rFonts w:eastAsia="仿宋_GB2312"/>
          <w:b/>
          <w:sz w:val="32"/>
          <w:szCs w:val="32"/>
        </w:rPr>
        <w:t>五、绩效目标</w:t>
      </w:r>
    </w:p>
    <w:tbl>
      <w:tblPr>
        <w:tblStyle w:val="5"/>
        <w:tblpPr w:leftFromText="180" w:rightFromText="180" w:vertAnchor="text" w:horzAnchor="page" w:tblpXSpec="center" w:tblpY="119"/>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017"/>
        <w:gridCol w:w="3302"/>
        <w:gridCol w:w="2268"/>
      </w:tblGrid>
      <w:tr w14:paraId="1625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659FE95">
            <w:pPr>
              <w:spacing w:line="560" w:lineRule="exact"/>
              <w:jc w:val="center"/>
              <w:rPr>
                <w:rFonts w:eastAsia="仿宋_GB2312"/>
                <w:color w:val="000000"/>
                <w:sz w:val="28"/>
                <w:szCs w:val="28"/>
              </w:rPr>
            </w:pPr>
            <w:r>
              <w:rPr>
                <w:rFonts w:eastAsia="仿宋_GB2312"/>
                <w:color w:val="000000"/>
                <w:sz w:val="28"/>
                <w:szCs w:val="28"/>
              </w:rPr>
              <w:t>序号</w:t>
            </w:r>
          </w:p>
        </w:tc>
        <w:tc>
          <w:tcPr>
            <w:tcW w:w="2017" w:type="dxa"/>
          </w:tcPr>
          <w:p w14:paraId="55888FB1">
            <w:pPr>
              <w:spacing w:line="560" w:lineRule="exact"/>
              <w:jc w:val="center"/>
              <w:rPr>
                <w:rFonts w:eastAsia="仿宋_GB2312"/>
                <w:color w:val="000000"/>
                <w:sz w:val="28"/>
                <w:szCs w:val="28"/>
              </w:rPr>
            </w:pPr>
            <w:r>
              <w:rPr>
                <w:rFonts w:eastAsia="仿宋_GB2312"/>
                <w:color w:val="000000"/>
                <w:sz w:val="28"/>
                <w:szCs w:val="28"/>
              </w:rPr>
              <w:t>绩效目标类型</w:t>
            </w:r>
          </w:p>
        </w:tc>
        <w:tc>
          <w:tcPr>
            <w:tcW w:w="3302" w:type="dxa"/>
          </w:tcPr>
          <w:p w14:paraId="72FD52EA">
            <w:pPr>
              <w:spacing w:line="560" w:lineRule="exact"/>
              <w:jc w:val="center"/>
              <w:rPr>
                <w:rFonts w:eastAsia="仿宋_GB2312"/>
                <w:color w:val="000000"/>
                <w:sz w:val="28"/>
                <w:szCs w:val="28"/>
              </w:rPr>
            </w:pPr>
            <w:r>
              <w:rPr>
                <w:rFonts w:eastAsia="仿宋_GB2312"/>
                <w:color w:val="000000"/>
                <w:sz w:val="28"/>
                <w:szCs w:val="28"/>
              </w:rPr>
              <w:t>绩效目标名称</w:t>
            </w:r>
          </w:p>
        </w:tc>
        <w:tc>
          <w:tcPr>
            <w:tcW w:w="2268" w:type="dxa"/>
          </w:tcPr>
          <w:p w14:paraId="7B62BE22">
            <w:pPr>
              <w:spacing w:line="560" w:lineRule="exact"/>
              <w:jc w:val="center"/>
              <w:rPr>
                <w:rFonts w:eastAsia="仿宋_GB2312"/>
                <w:color w:val="000000"/>
                <w:sz w:val="28"/>
                <w:szCs w:val="28"/>
              </w:rPr>
            </w:pPr>
            <w:r>
              <w:rPr>
                <w:rFonts w:eastAsia="仿宋_GB2312"/>
                <w:color w:val="000000"/>
                <w:sz w:val="28"/>
                <w:szCs w:val="28"/>
              </w:rPr>
              <w:t>目标值</w:t>
            </w:r>
          </w:p>
        </w:tc>
      </w:tr>
      <w:tr w14:paraId="3938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85" w:type="dxa"/>
            <w:vAlign w:val="center"/>
          </w:tcPr>
          <w:p w14:paraId="2ADDEAA4">
            <w:pPr>
              <w:spacing w:line="560" w:lineRule="exact"/>
              <w:jc w:val="center"/>
              <w:rPr>
                <w:rFonts w:eastAsia="仿宋_GB2312"/>
                <w:color w:val="000000"/>
                <w:sz w:val="28"/>
                <w:szCs w:val="28"/>
              </w:rPr>
            </w:pPr>
            <w:r>
              <w:rPr>
                <w:rFonts w:eastAsia="仿宋_GB2312"/>
                <w:color w:val="000000"/>
                <w:sz w:val="28"/>
                <w:szCs w:val="28"/>
              </w:rPr>
              <w:t>1</w:t>
            </w:r>
          </w:p>
        </w:tc>
        <w:tc>
          <w:tcPr>
            <w:tcW w:w="2017" w:type="dxa"/>
            <w:vAlign w:val="center"/>
          </w:tcPr>
          <w:p w14:paraId="1E7F6EBF">
            <w:pPr>
              <w:spacing w:line="560" w:lineRule="exact"/>
              <w:jc w:val="center"/>
              <w:rPr>
                <w:rFonts w:eastAsia="仿宋_GB2312"/>
                <w:color w:val="000000"/>
                <w:sz w:val="28"/>
                <w:szCs w:val="28"/>
              </w:rPr>
            </w:pPr>
            <w:r>
              <w:rPr>
                <w:rFonts w:eastAsia="仿宋_GB2312"/>
                <w:color w:val="000000"/>
                <w:sz w:val="28"/>
                <w:szCs w:val="28"/>
              </w:rPr>
              <w:t>数量指标</w:t>
            </w:r>
          </w:p>
        </w:tc>
        <w:tc>
          <w:tcPr>
            <w:tcW w:w="3302" w:type="dxa"/>
            <w:vAlign w:val="center"/>
          </w:tcPr>
          <w:p w14:paraId="19C84EB6">
            <w:pPr>
              <w:spacing w:line="560" w:lineRule="exact"/>
              <w:jc w:val="center"/>
              <w:rPr>
                <w:rFonts w:ascii="仿宋_GB2312" w:eastAsia="仿宋_GB2312" w:hAnsiTheme="minorEastAsia"/>
                <w:sz w:val="32"/>
                <w:szCs w:val="32"/>
              </w:rPr>
            </w:pPr>
            <w:r>
              <w:rPr>
                <w:rFonts w:ascii="仿宋_GB2312" w:eastAsia="仿宋_GB2312" w:hAnsiTheme="minorEastAsia"/>
                <w:sz w:val="32"/>
                <w:szCs w:val="32"/>
              </w:rPr>
              <w:t>废旧地膜回收处置量</w:t>
            </w:r>
          </w:p>
        </w:tc>
        <w:tc>
          <w:tcPr>
            <w:tcW w:w="2268" w:type="dxa"/>
            <w:vAlign w:val="center"/>
          </w:tcPr>
          <w:p w14:paraId="34804DDF">
            <w:pPr>
              <w:spacing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120</w:t>
            </w:r>
            <w:r>
              <w:rPr>
                <w:rFonts w:eastAsia="仿宋_GB2312"/>
                <w:color w:val="000000" w:themeColor="text1"/>
                <w:sz w:val="28"/>
                <w:szCs w:val="28"/>
                <w14:textFill>
                  <w14:solidFill>
                    <w14:schemeClr w14:val="tx1"/>
                  </w14:solidFill>
                </w14:textFill>
              </w:rPr>
              <w:t>吨</w:t>
            </w:r>
          </w:p>
        </w:tc>
      </w:tr>
      <w:tr w14:paraId="7821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85" w:type="dxa"/>
            <w:vAlign w:val="center"/>
          </w:tcPr>
          <w:p w14:paraId="3B6ABFBC">
            <w:pPr>
              <w:spacing w:line="560" w:lineRule="exact"/>
              <w:jc w:val="center"/>
              <w:rPr>
                <w:rFonts w:eastAsia="仿宋_GB2312"/>
                <w:color w:val="000000"/>
                <w:sz w:val="28"/>
                <w:szCs w:val="28"/>
              </w:rPr>
            </w:pPr>
            <w:r>
              <w:rPr>
                <w:rFonts w:eastAsia="仿宋_GB2312"/>
                <w:color w:val="000000"/>
                <w:sz w:val="28"/>
                <w:szCs w:val="28"/>
              </w:rPr>
              <w:t>2</w:t>
            </w:r>
          </w:p>
        </w:tc>
        <w:tc>
          <w:tcPr>
            <w:tcW w:w="2017" w:type="dxa"/>
            <w:vAlign w:val="center"/>
          </w:tcPr>
          <w:p w14:paraId="094A54E9">
            <w:pPr>
              <w:spacing w:line="560" w:lineRule="exact"/>
              <w:jc w:val="center"/>
              <w:rPr>
                <w:rFonts w:eastAsia="仿宋_GB2312"/>
                <w:color w:val="000000"/>
                <w:sz w:val="28"/>
                <w:szCs w:val="28"/>
              </w:rPr>
            </w:pPr>
            <w:r>
              <w:rPr>
                <w:rFonts w:eastAsia="仿宋_GB2312"/>
                <w:color w:val="000000"/>
                <w:sz w:val="28"/>
                <w:szCs w:val="28"/>
              </w:rPr>
              <w:t>数量指标</w:t>
            </w:r>
          </w:p>
        </w:tc>
        <w:tc>
          <w:tcPr>
            <w:tcW w:w="3302" w:type="dxa"/>
            <w:vAlign w:val="center"/>
          </w:tcPr>
          <w:p w14:paraId="03A8184F">
            <w:pPr>
              <w:spacing w:line="560" w:lineRule="exact"/>
              <w:jc w:val="center"/>
              <w:rPr>
                <w:rFonts w:ascii="仿宋_GB2312" w:eastAsia="仿宋_GB2312" w:hAnsiTheme="minorEastAsia"/>
                <w:sz w:val="32"/>
                <w:szCs w:val="32"/>
              </w:rPr>
            </w:pPr>
            <w:r>
              <w:rPr>
                <w:rFonts w:ascii="仿宋_GB2312" w:eastAsia="仿宋_GB2312" w:hAnsiTheme="minorEastAsia"/>
                <w:sz w:val="32"/>
                <w:szCs w:val="32"/>
              </w:rPr>
              <w:t>设立地膜残留监测点</w:t>
            </w:r>
          </w:p>
        </w:tc>
        <w:tc>
          <w:tcPr>
            <w:tcW w:w="2268" w:type="dxa"/>
            <w:vAlign w:val="center"/>
          </w:tcPr>
          <w:p w14:paraId="62B941E0">
            <w:pPr>
              <w:spacing w:line="560" w:lineRule="exact"/>
              <w:jc w:val="center"/>
              <w:rPr>
                <w:rFonts w:eastAsia="仿宋_GB2312"/>
                <w:color w:val="000000"/>
                <w:sz w:val="28"/>
                <w:szCs w:val="28"/>
              </w:rPr>
            </w:pPr>
            <w:r>
              <w:rPr>
                <w:rFonts w:eastAsia="仿宋_GB2312"/>
                <w:color w:val="000000"/>
                <w:sz w:val="28"/>
                <w:szCs w:val="28"/>
              </w:rPr>
              <w:t>16个</w:t>
            </w:r>
          </w:p>
        </w:tc>
      </w:tr>
      <w:tr w14:paraId="2A09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85" w:type="dxa"/>
            <w:vAlign w:val="center"/>
          </w:tcPr>
          <w:p w14:paraId="269E13A5">
            <w:pPr>
              <w:spacing w:line="560" w:lineRule="exact"/>
              <w:jc w:val="center"/>
              <w:rPr>
                <w:rFonts w:eastAsia="仿宋_GB2312"/>
                <w:color w:val="000000"/>
                <w:sz w:val="28"/>
                <w:szCs w:val="28"/>
              </w:rPr>
            </w:pPr>
            <w:r>
              <w:rPr>
                <w:rFonts w:eastAsia="仿宋_GB2312"/>
                <w:color w:val="000000"/>
                <w:sz w:val="28"/>
                <w:szCs w:val="28"/>
              </w:rPr>
              <w:t>3</w:t>
            </w:r>
          </w:p>
        </w:tc>
        <w:tc>
          <w:tcPr>
            <w:tcW w:w="2017" w:type="dxa"/>
            <w:vAlign w:val="center"/>
          </w:tcPr>
          <w:p w14:paraId="19646DBF">
            <w:pPr>
              <w:spacing w:line="560" w:lineRule="exact"/>
              <w:jc w:val="center"/>
              <w:rPr>
                <w:rFonts w:eastAsia="仿宋_GB2312"/>
                <w:color w:val="000000"/>
                <w:sz w:val="28"/>
                <w:szCs w:val="28"/>
              </w:rPr>
            </w:pPr>
            <w:r>
              <w:rPr>
                <w:rFonts w:eastAsia="仿宋_GB2312"/>
                <w:color w:val="000000"/>
                <w:sz w:val="28"/>
                <w:szCs w:val="28"/>
              </w:rPr>
              <w:t>效益指标</w:t>
            </w:r>
          </w:p>
        </w:tc>
        <w:tc>
          <w:tcPr>
            <w:tcW w:w="3302" w:type="dxa"/>
            <w:vAlign w:val="center"/>
          </w:tcPr>
          <w:p w14:paraId="3CD2F2D5">
            <w:pPr>
              <w:spacing w:line="560" w:lineRule="exact"/>
              <w:jc w:val="center"/>
              <w:rPr>
                <w:rFonts w:eastAsia="仿宋_GB2312"/>
                <w:color w:val="000000"/>
                <w:sz w:val="28"/>
                <w:szCs w:val="28"/>
              </w:rPr>
            </w:pPr>
            <w:r>
              <w:rPr>
                <w:rFonts w:eastAsia="仿宋_GB2312"/>
                <w:color w:val="000000"/>
                <w:sz w:val="28"/>
                <w:szCs w:val="28"/>
              </w:rPr>
              <w:t>废旧农膜回收率</w:t>
            </w:r>
          </w:p>
        </w:tc>
        <w:tc>
          <w:tcPr>
            <w:tcW w:w="2268" w:type="dxa"/>
            <w:vAlign w:val="center"/>
          </w:tcPr>
          <w:p w14:paraId="03BAA2EF">
            <w:pPr>
              <w:spacing w:line="560" w:lineRule="exact"/>
              <w:jc w:val="center"/>
              <w:rPr>
                <w:rFonts w:eastAsia="仿宋_GB2312"/>
                <w:color w:val="000000"/>
                <w:sz w:val="28"/>
                <w:szCs w:val="28"/>
              </w:rPr>
            </w:pPr>
            <w:r>
              <w:rPr>
                <w:rFonts w:eastAsia="仿宋_GB2312"/>
                <w:color w:val="000000" w:themeColor="text1"/>
                <w:sz w:val="28"/>
                <w:szCs w:val="28"/>
                <w14:textFill>
                  <w14:solidFill>
                    <w14:schemeClr w14:val="tx1"/>
                  </w14:solidFill>
                </w14:textFill>
              </w:rPr>
              <w:t>≥</w:t>
            </w:r>
            <w:r>
              <w:rPr>
                <w:rFonts w:eastAsia="仿宋_GB2312"/>
                <w:color w:val="000000"/>
                <w:sz w:val="28"/>
                <w:szCs w:val="28"/>
              </w:rPr>
              <w:t>89.5%</w:t>
            </w:r>
          </w:p>
        </w:tc>
      </w:tr>
    </w:tbl>
    <w:p w14:paraId="3EA07564">
      <w:pPr>
        <w:spacing w:line="560" w:lineRule="exact"/>
        <w:ind w:firstLine="643" w:firstLineChars="200"/>
        <w:rPr>
          <w:rFonts w:eastAsia="仿宋_GB2312"/>
          <w:b/>
          <w:sz w:val="32"/>
          <w:szCs w:val="32"/>
        </w:rPr>
      </w:pPr>
      <w:r>
        <w:rPr>
          <w:rFonts w:eastAsia="仿宋_GB2312"/>
          <w:b/>
          <w:sz w:val="32"/>
          <w:szCs w:val="32"/>
        </w:rPr>
        <w:t>六、组织管理</w:t>
      </w:r>
    </w:p>
    <w:p w14:paraId="2CC4615C">
      <w:pPr>
        <w:spacing w:line="560" w:lineRule="exact"/>
        <w:ind w:firstLine="643" w:firstLineChars="200"/>
        <w:rPr>
          <w:rFonts w:eastAsia="仿宋_GB2312"/>
          <w:b/>
          <w:sz w:val="32"/>
          <w:szCs w:val="32"/>
        </w:rPr>
      </w:pPr>
      <w:r>
        <w:rPr>
          <w:rFonts w:eastAsia="仿宋_GB2312"/>
          <w:b/>
          <w:sz w:val="32"/>
          <w:szCs w:val="32"/>
        </w:rPr>
        <w:t>（一）项目组成员</w:t>
      </w:r>
    </w:p>
    <w:tbl>
      <w:tblPr>
        <w:tblStyle w:val="14"/>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3"/>
        <w:gridCol w:w="4253"/>
        <w:gridCol w:w="2083"/>
        <w:gridCol w:w="1701"/>
      </w:tblGrid>
      <w:tr w14:paraId="1FB1C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143" w:type="dxa"/>
            <w:vAlign w:val="center"/>
          </w:tcPr>
          <w:p w14:paraId="04D7CCB5">
            <w:pPr>
              <w:spacing w:line="560" w:lineRule="exact"/>
              <w:jc w:val="center"/>
              <w:rPr>
                <w:rFonts w:eastAsia="仿宋_GB2312"/>
                <w:sz w:val="28"/>
                <w:szCs w:val="28"/>
              </w:rPr>
            </w:pPr>
            <w:r>
              <w:rPr>
                <w:rFonts w:eastAsia="仿宋_GB2312"/>
                <w:sz w:val="28"/>
                <w:szCs w:val="28"/>
              </w:rPr>
              <w:t>姓名</w:t>
            </w:r>
          </w:p>
        </w:tc>
        <w:tc>
          <w:tcPr>
            <w:tcW w:w="4253" w:type="dxa"/>
            <w:vAlign w:val="center"/>
          </w:tcPr>
          <w:p w14:paraId="65D4FDC4">
            <w:pPr>
              <w:spacing w:line="560" w:lineRule="exact"/>
              <w:jc w:val="center"/>
              <w:rPr>
                <w:rFonts w:eastAsia="仿宋_GB2312"/>
                <w:sz w:val="28"/>
                <w:szCs w:val="28"/>
              </w:rPr>
            </w:pPr>
            <w:r>
              <w:rPr>
                <w:rFonts w:eastAsia="仿宋_GB2312"/>
                <w:sz w:val="28"/>
                <w:szCs w:val="28"/>
              </w:rPr>
              <w:t>单位名称</w:t>
            </w:r>
          </w:p>
        </w:tc>
        <w:tc>
          <w:tcPr>
            <w:tcW w:w="2083" w:type="dxa"/>
            <w:vAlign w:val="center"/>
          </w:tcPr>
          <w:p w14:paraId="37182304">
            <w:pPr>
              <w:spacing w:line="560" w:lineRule="exact"/>
              <w:jc w:val="center"/>
              <w:rPr>
                <w:rFonts w:eastAsia="仿宋_GB2312"/>
                <w:sz w:val="28"/>
                <w:szCs w:val="28"/>
              </w:rPr>
            </w:pPr>
            <w:r>
              <w:rPr>
                <w:rFonts w:eastAsia="仿宋_GB2312"/>
                <w:sz w:val="28"/>
                <w:szCs w:val="28"/>
              </w:rPr>
              <w:t>职务、职称</w:t>
            </w:r>
          </w:p>
        </w:tc>
        <w:tc>
          <w:tcPr>
            <w:tcW w:w="1701" w:type="dxa"/>
            <w:vAlign w:val="center"/>
          </w:tcPr>
          <w:p w14:paraId="34042FFD">
            <w:pPr>
              <w:spacing w:line="560" w:lineRule="exact"/>
              <w:jc w:val="center"/>
              <w:rPr>
                <w:rFonts w:eastAsia="仿宋_GB2312"/>
                <w:sz w:val="28"/>
                <w:szCs w:val="28"/>
              </w:rPr>
            </w:pPr>
            <w:r>
              <w:rPr>
                <w:rFonts w:eastAsia="仿宋_GB2312"/>
                <w:sz w:val="28"/>
                <w:szCs w:val="28"/>
              </w:rPr>
              <w:t>项目中承担工作</w:t>
            </w:r>
          </w:p>
        </w:tc>
      </w:tr>
      <w:tr w14:paraId="4C8DD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143" w:type="dxa"/>
            <w:shd w:val="clear" w:color="auto" w:fill="auto"/>
            <w:vAlign w:val="center"/>
          </w:tcPr>
          <w:p w14:paraId="1D85ABC1">
            <w:pPr>
              <w:spacing w:line="560" w:lineRule="exact"/>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rPr>
              <w:t>居倪萍</w:t>
            </w:r>
          </w:p>
        </w:tc>
        <w:tc>
          <w:tcPr>
            <w:tcW w:w="4253" w:type="dxa"/>
            <w:shd w:val="clear" w:color="auto" w:fill="auto"/>
            <w:vAlign w:val="center"/>
          </w:tcPr>
          <w:p w14:paraId="1F628533">
            <w:pPr>
              <w:spacing w:before="120" w:line="56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eastAsia="仿宋_GB2312"/>
                <w:color w:val="000000" w:themeColor="text1"/>
                <w:sz w:val="28"/>
                <w:szCs w:val="28"/>
                <w14:textFill>
                  <w14:solidFill>
                    <w14:schemeClr w14:val="tx1"/>
                  </w14:solidFill>
                </w14:textFill>
              </w:rPr>
              <w:t>溧阳市农业综合技术推广中心</w:t>
            </w:r>
          </w:p>
        </w:tc>
        <w:tc>
          <w:tcPr>
            <w:tcW w:w="2083" w:type="dxa"/>
            <w:shd w:val="clear" w:color="auto" w:fill="auto"/>
            <w:vAlign w:val="center"/>
          </w:tcPr>
          <w:p w14:paraId="6B140108">
            <w:pPr>
              <w:spacing w:line="560" w:lineRule="exact"/>
              <w:jc w:val="center"/>
              <w:rPr>
                <w:rFonts w:hint="eastAsia" w:ascii="Times New Roman" w:hAnsi="Times New Roman" w:eastAsia="仿宋_GB2312" w:cs="Times New Roman"/>
                <w:kern w:val="2"/>
                <w:sz w:val="28"/>
                <w:szCs w:val="28"/>
                <w:lang w:val="en-US" w:eastAsia="zh-CN" w:bidi="ar-SA"/>
              </w:rPr>
            </w:pPr>
            <w:r>
              <w:rPr>
                <w:rFonts w:eastAsia="仿宋_GB2312"/>
                <w:sz w:val="28"/>
                <w:szCs w:val="28"/>
              </w:rPr>
              <w:t>农艺师</w:t>
            </w:r>
          </w:p>
        </w:tc>
        <w:tc>
          <w:tcPr>
            <w:tcW w:w="1701" w:type="dxa"/>
            <w:shd w:val="clear" w:color="auto" w:fill="auto"/>
            <w:vAlign w:val="center"/>
          </w:tcPr>
          <w:p w14:paraId="61A72864">
            <w:pPr>
              <w:spacing w:line="560" w:lineRule="exact"/>
              <w:jc w:val="center"/>
              <w:rPr>
                <w:rFonts w:ascii="Times New Roman" w:hAnsi="Times New Roman" w:eastAsia="仿宋_GB2312" w:cs="Times New Roman"/>
                <w:kern w:val="2"/>
                <w:sz w:val="28"/>
                <w:szCs w:val="28"/>
                <w:lang w:val="en-US" w:eastAsia="zh-CN" w:bidi="ar-SA"/>
              </w:rPr>
            </w:pPr>
            <w:r>
              <w:rPr>
                <w:rFonts w:hint="eastAsia" w:eastAsia="仿宋_GB2312" w:cs="Times New Roman"/>
                <w:kern w:val="2"/>
                <w:sz w:val="28"/>
                <w:szCs w:val="28"/>
                <w:lang w:val="en-US" w:eastAsia="zh-CN" w:bidi="ar-SA"/>
              </w:rPr>
              <w:t>主持</w:t>
            </w:r>
          </w:p>
        </w:tc>
      </w:tr>
      <w:tr w14:paraId="6D2A9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143" w:type="dxa"/>
            <w:shd w:val="clear" w:color="auto" w:fill="auto"/>
            <w:vAlign w:val="center"/>
          </w:tcPr>
          <w:p w14:paraId="022F9074">
            <w:pPr>
              <w:spacing w:line="560" w:lineRule="exact"/>
              <w:jc w:val="center"/>
              <w:rPr>
                <w:rFonts w:ascii="Times New Roman" w:hAnsi="Times New Roman" w:eastAsia="仿宋_GB2312" w:cs="Times New Roman"/>
                <w:kern w:val="2"/>
                <w:sz w:val="28"/>
                <w:szCs w:val="28"/>
                <w:lang w:val="en-US" w:eastAsia="zh-CN" w:bidi="ar-SA"/>
              </w:rPr>
            </w:pPr>
            <w:r>
              <w:rPr>
                <w:rFonts w:eastAsia="仿宋_GB2312"/>
                <w:sz w:val="28"/>
                <w:szCs w:val="28"/>
              </w:rPr>
              <w:t>魏继燕</w:t>
            </w:r>
          </w:p>
        </w:tc>
        <w:tc>
          <w:tcPr>
            <w:tcW w:w="4253" w:type="dxa"/>
            <w:shd w:val="clear" w:color="auto" w:fill="auto"/>
            <w:vAlign w:val="center"/>
          </w:tcPr>
          <w:p w14:paraId="75C57679">
            <w:pPr>
              <w:spacing w:before="120" w:line="56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eastAsia="仿宋_GB2312"/>
                <w:color w:val="000000" w:themeColor="text1"/>
                <w:sz w:val="28"/>
                <w:szCs w:val="28"/>
                <w14:textFill>
                  <w14:solidFill>
                    <w14:schemeClr w14:val="tx1"/>
                  </w14:solidFill>
                </w14:textFill>
              </w:rPr>
              <w:t>溧阳市农业综合技术推广中心</w:t>
            </w:r>
          </w:p>
        </w:tc>
        <w:tc>
          <w:tcPr>
            <w:tcW w:w="2083" w:type="dxa"/>
            <w:shd w:val="clear" w:color="auto" w:fill="auto"/>
            <w:vAlign w:val="center"/>
          </w:tcPr>
          <w:p w14:paraId="335EF2FA">
            <w:pPr>
              <w:spacing w:line="560" w:lineRule="exact"/>
              <w:jc w:val="center"/>
              <w:rPr>
                <w:rFonts w:ascii="Times New Roman" w:hAnsi="Times New Roman" w:eastAsia="仿宋_GB2312" w:cs="Times New Roman"/>
                <w:kern w:val="2"/>
                <w:sz w:val="28"/>
                <w:szCs w:val="28"/>
                <w:lang w:val="en-US" w:eastAsia="zh-CN" w:bidi="ar-SA"/>
              </w:rPr>
            </w:pPr>
            <w:r>
              <w:rPr>
                <w:rFonts w:eastAsia="仿宋_GB2312"/>
                <w:sz w:val="28"/>
                <w:szCs w:val="28"/>
              </w:rPr>
              <w:t>副主任、高级农艺师</w:t>
            </w:r>
          </w:p>
        </w:tc>
        <w:tc>
          <w:tcPr>
            <w:tcW w:w="1701" w:type="dxa"/>
            <w:shd w:val="clear" w:color="auto" w:fill="auto"/>
            <w:vAlign w:val="center"/>
          </w:tcPr>
          <w:p w14:paraId="5C9C2454">
            <w:pPr>
              <w:spacing w:line="560" w:lineRule="exact"/>
              <w:jc w:val="center"/>
              <w:rPr>
                <w:rFonts w:ascii="Times New Roman" w:hAnsi="Times New Roman" w:eastAsia="仿宋_GB2312" w:cs="Times New Roman"/>
                <w:kern w:val="2"/>
                <w:sz w:val="28"/>
                <w:szCs w:val="28"/>
                <w:lang w:val="en-US" w:eastAsia="zh-CN" w:bidi="ar-SA"/>
              </w:rPr>
            </w:pPr>
            <w:r>
              <w:rPr>
                <w:rFonts w:hint="eastAsia" w:eastAsia="仿宋_GB2312"/>
                <w:sz w:val="28"/>
                <w:szCs w:val="28"/>
              </w:rPr>
              <w:t>项目管理</w:t>
            </w:r>
          </w:p>
        </w:tc>
      </w:tr>
      <w:tr w14:paraId="34317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143" w:type="dxa"/>
            <w:shd w:val="clear" w:color="auto" w:fill="auto"/>
            <w:vAlign w:val="center"/>
          </w:tcPr>
          <w:p w14:paraId="216F22D6">
            <w:pPr>
              <w:spacing w:line="560" w:lineRule="exact"/>
              <w:jc w:val="center"/>
              <w:rPr>
                <w:rFonts w:ascii="Times New Roman" w:hAnsi="Times New Roman" w:eastAsia="仿宋_GB2312" w:cs="Times New Roman"/>
                <w:kern w:val="2"/>
                <w:sz w:val="28"/>
                <w:szCs w:val="28"/>
                <w:lang w:val="en-US" w:eastAsia="zh-CN" w:bidi="ar-SA"/>
              </w:rPr>
            </w:pPr>
            <w:r>
              <w:rPr>
                <w:rFonts w:hint="eastAsia" w:eastAsia="仿宋_GB2312"/>
                <w:sz w:val="28"/>
                <w:szCs w:val="28"/>
              </w:rPr>
              <w:t>潘俊华</w:t>
            </w:r>
          </w:p>
        </w:tc>
        <w:tc>
          <w:tcPr>
            <w:tcW w:w="4253" w:type="dxa"/>
            <w:shd w:val="clear" w:color="auto" w:fill="auto"/>
            <w:vAlign w:val="center"/>
          </w:tcPr>
          <w:p w14:paraId="3F983EC3">
            <w:pPr>
              <w:spacing w:before="120" w:line="560" w:lineRule="exact"/>
              <w:jc w:val="cente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pPr>
            <w:r>
              <w:rPr>
                <w:rFonts w:eastAsia="仿宋_GB2312"/>
                <w:color w:val="000000" w:themeColor="text1"/>
                <w:sz w:val="28"/>
                <w:szCs w:val="28"/>
                <w14:textFill>
                  <w14:solidFill>
                    <w14:schemeClr w14:val="tx1"/>
                  </w14:solidFill>
                </w14:textFill>
              </w:rPr>
              <w:t>溧阳市农业综合技术推广中心</w:t>
            </w:r>
          </w:p>
        </w:tc>
        <w:tc>
          <w:tcPr>
            <w:tcW w:w="2083" w:type="dxa"/>
            <w:shd w:val="clear" w:color="auto" w:fill="auto"/>
            <w:vAlign w:val="center"/>
          </w:tcPr>
          <w:p w14:paraId="4EACA292">
            <w:pPr>
              <w:spacing w:line="560" w:lineRule="exact"/>
              <w:jc w:val="center"/>
              <w:rPr>
                <w:rFonts w:ascii="Times New Roman" w:hAnsi="Times New Roman" w:eastAsia="仿宋_GB2312" w:cs="Times New Roman"/>
                <w:kern w:val="2"/>
                <w:sz w:val="28"/>
                <w:szCs w:val="28"/>
                <w:lang w:val="en-US" w:eastAsia="zh-CN" w:bidi="ar-SA"/>
              </w:rPr>
            </w:pPr>
            <w:r>
              <w:rPr>
                <w:rFonts w:hint="eastAsia" w:eastAsia="仿宋_GB2312"/>
                <w:sz w:val="28"/>
                <w:szCs w:val="28"/>
              </w:rPr>
              <w:t>高级农艺师</w:t>
            </w:r>
          </w:p>
        </w:tc>
        <w:tc>
          <w:tcPr>
            <w:tcW w:w="1701" w:type="dxa"/>
            <w:shd w:val="clear" w:color="auto" w:fill="auto"/>
            <w:vAlign w:val="center"/>
          </w:tcPr>
          <w:p w14:paraId="4FE58BD0">
            <w:pPr>
              <w:spacing w:line="560" w:lineRule="exact"/>
              <w:jc w:val="center"/>
              <w:rPr>
                <w:rFonts w:hint="eastAsia" w:ascii="Times New Roman" w:hAnsi="Times New Roman" w:eastAsia="仿宋_GB2312" w:cs="Times New Roman"/>
                <w:kern w:val="2"/>
                <w:sz w:val="28"/>
                <w:szCs w:val="28"/>
                <w:lang w:val="en-US" w:eastAsia="zh-CN" w:bidi="ar-SA"/>
              </w:rPr>
            </w:pPr>
            <w:r>
              <w:rPr>
                <w:rFonts w:hint="eastAsia" w:eastAsia="仿宋_GB2312"/>
                <w:sz w:val="28"/>
                <w:szCs w:val="28"/>
                <w:lang w:eastAsia="zh-CN"/>
              </w:rPr>
              <w:t>项目负责</w:t>
            </w:r>
          </w:p>
        </w:tc>
      </w:tr>
      <w:tr w14:paraId="1EBBE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143" w:type="dxa"/>
            <w:vAlign w:val="center"/>
          </w:tcPr>
          <w:p w14:paraId="72FB1DF8">
            <w:pPr>
              <w:spacing w:line="560" w:lineRule="exact"/>
              <w:jc w:val="center"/>
              <w:rPr>
                <w:rFonts w:hint="eastAsia" w:eastAsia="仿宋_GB2312"/>
                <w:sz w:val="28"/>
                <w:szCs w:val="28"/>
                <w:lang w:eastAsia="zh-CN"/>
              </w:rPr>
            </w:pPr>
            <w:r>
              <w:rPr>
                <w:rFonts w:hint="eastAsia" w:eastAsia="仿宋_GB2312"/>
                <w:sz w:val="28"/>
                <w:szCs w:val="28"/>
                <w:lang w:eastAsia="zh-CN"/>
              </w:rPr>
              <w:t>黄学东</w:t>
            </w:r>
          </w:p>
        </w:tc>
        <w:tc>
          <w:tcPr>
            <w:tcW w:w="4253" w:type="dxa"/>
            <w:vAlign w:val="center"/>
          </w:tcPr>
          <w:p w14:paraId="26B9B4B9">
            <w:pPr>
              <w:spacing w:before="120"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溧阳市农业综合技术推广中心</w:t>
            </w:r>
          </w:p>
        </w:tc>
        <w:tc>
          <w:tcPr>
            <w:tcW w:w="2083" w:type="dxa"/>
            <w:vAlign w:val="center"/>
          </w:tcPr>
          <w:p w14:paraId="3D56D9F9">
            <w:pPr>
              <w:spacing w:line="560" w:lineRule="exact"/>
              <w:jc w:val="center"/>
              <w:rPr>
                <w:rFonts w:eastAsia="仿宋_GB2312"/>
                <w:sz w:val="28"/>
                <w:szCs w:val="28"/>
              </w:rPr>
            </w:pPr>
            <w:r>
              <w:rPr>
                <w:rFonts w:hint="eastAsia" w:eastAsia="仿宋_GB2312"/>
                <w:sz w:val="28"/>
                <w:szCs w:val="28"/>
                <w:lang w:eastAsia="zh-CN"/>
              </w:rPr>
              <w:t>高级</w:t>
            </w:r>
            <w:r>
              <w:rPr>
                <w:rFonts w:eastAsia="仿宋_GB2312"/>
                <w:sz w:val="28"/>
                <w:szCs w:val="28"/>
              </w:rPr>
              <w:t>农艺师</w:t>
            </w:r>
          </w:p>
        </w:tc>
        <w:tc>
          <w:tcPr>
            <w:tcW w:w="1701" w:type="dxa"/>
            <w:vAlign w:val="center"/>
          </w:tcPr>
          <w:p w14:paraId="47F50B36">
            <w:pPr>
              <w:spacing w:line="560" w:lineRule="exact"/>
              <w:jc w:val="center"/>
              <w:rPr>
                <w:rFonts w:eastAsia="仿宋_GB2312"/>
                <w:sz w:val="28"/>
                <w:szCs w:val="28"/>
              </w:rPr>
            </w:pPr>
            <w:r>
              <w:rPr>
                <w:rFonts w:eastAsia="仿宋_GB2312"/>
                <w:sz w:val="28"/>
                <w:szCs w:val="28"/>
              </w:rPr>
              <w:t>技术指导</w:t>
            </w:r>
          </w:p>
        </w:tc>
      </w:tr>
      <w:tr w14:paraId="668D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143" w:type="dxa"/>
            <w:vAlign w:val="center"/>
          </w:tcPr>
          <w:p w14:paraId="291BE02A">
            <w:pPr>
              <w:spacing w:line="560" w:lineRule="exact"/>
              <w:jc w:val="center"/>
              <w:rPr>
                <w:rFonts w:hint="eastAsia" w:eastAsia="仿宋_GB2312"/>
                <w:sz w:val="28"/>
                <w:szCs w:val="28"/>
                <w:lang w:eastAsia="zh-CN"/>
              </w:rPr>
            </w:pPr>
            <w:r>
              <w:rPr>
                <w:rFonts w:hint="eastAsia" w:eastAsia="仿宋_GB2312"/>
                <w:sz w:val="28"/>
                <w:szCs w:val="28"/>
                <w:lang w:eastAsia="zh-CN"/>
              </w:rPr>
              <w:t>周萍</w:t>
            </w:r>
          </w:p>
        </w:tc>
        <w:tc>
          <w:tcPr>
            <w:tcW w:w="4253" w:type="dxa"/>
            <w:vAlign w:val="center"/>
          </w:tcPr>
          <w:p w14:paraId="2D736853">
            <w:pPr>
              <w:spacing w:before="120"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溧阳市农业综合技术推广中心</w:t>
            </w:r>
          </w:p>
        </w:tc>
        <w:tc>
          <w:tcPr>
            <w:tcW w:w="2083" w:type="dxa"/>
            <w:vAlign w:val="center"/>
          </w:tcPr>
          <w:p w14:paraId="3F76136A">
            <w:pPr>
              <w:spacing w:line="560" w:lineRule="exact"/>
              <w:jc w:val="center"/>
              <w:rPr>
                <w:rFonts w:eastAsia="仿宋_GB2312"/>
                <w:sz w:val="28"/>
                <w:szCs w:val="28"/>
              </w:rPr>
            </w:pPr>
            <w:r>
              <w:rPr>
                <w:rFonts w:hint="eastAsia" w:eastAsia="仿宋_GB2312"/>
                <w:sz w:val="28"/>
                <w:szCs w:val="28"/>
                <w:lang w:eastAsia="zh-CN"/>
              </w:rPr>
              <w:t>高级</w:t>
            </w:r>
            <w:r>
              <w:rPr>
                <w:rFonts w:eastAsia="仿宋_GB2312"/>
                <w:sz w:val="28"/>
                <w:szCs w:val="28"/>
              </w:rPr>
              <w:t>农艺师</w:t>
            </w:r>
          </w:p>
        </w:tc>
        <w:tc>
          <w:tcPr>
            <w:tcW w:w="1701" w:type="dxa"/>
            <w:vAlign w:val="center"/>
          </w:tcPr>
          <w:p w14:paraId="2FD3AC7D">
            <w:pPr>
              <w:spacing w:line="560" w:lineRule="exact"/>
              <w:jc w:val="center"/>
              <w:rPr>
                <w:rFonts w:eastAsia="仿宋_GB2312"/>
                <w:sz w:val="28"/>
                <w:szCs w:val="28"/>
              </w:rPr>
            </w:pPr>
            <w:r>
              <w:rPr>
                <w:rFonts w:eastAsia="仿宋_GB2312"/>
                <w:sz w:val="28"/>
                <w:szCs w:val="28"/>
              </w:rPr>
              <w:t>技术指导</w:t>
            </w:r>
          </w:p>
        </w:tc>
      </w:tr>
      <w:tr w14:paraId="3D59B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143" w:type="dxa"/>
            <w:vAlign w:val="center"/>
          </w:tcPr>
          <w:p w14:paraId="4C8DF96A">
            <w:pPr>
              <w:spacing w:line="560" w:lineRule="exact"/>
              <w:jc w:val="center"/>
              <w:rPr>
                <w:rFonts w:hint="eastAsia" w:eastAsia="仿宋_GB2312"/>
                <w:sz w:val="28"/>
                <w:szCs w:val="28"/>
                <w:lang w:eastAsia="zh-CN"/>
              </w:rPr>
            </w:pPr>
            <w:r>
              <w:rPr>
                <w:rFonts w:hint="eastAsia" w:eastAsia="仿宋_GB2312"/>
                <w:sz w:val="28"/>
                <w:szCs w:val="28"/>
                <w:lang w:eastAsia="zh-CN"/>
              </w:rPr>
              <w:t>高艺</w:t>
            </w:r>
          </w:p>
        </w:tc>
        <w:tc>
          <w:tcPr>
            <w:tcW w:w="4253" w:type="dxa"/>
            <w:vAlign w:val="center"/>
          </w:tcPr>
          <w:p w14:paraId="7DA62D13">
            <w:pPr>
              <w:spacing w:before="120"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溧阳市农业综合技术推广中心</w:t>
            </w:r>
          </w:p>
        </w:tc>
        <w:tc>
          <w:tcPr>
            <w:tcW w:w="2083" w:type="dxa"/>
            <w:vAlign w:val="center"/>
          </w:tcPr>
          <w:p w14:paraId="6B1C1C60">
            <w:pPr>
              <w:spacing w:line="560" w:lineRule="exact"/>
              <w:jc w:val="center"/>
              <w:rPr>
                <w:rFonts w:eastAsia="仿宋_GB2312"/>
                <w:sz w:val="28"/>
                <w:szCs w:val="28"/>
              </w:rPr>
            </w:pPr>
            <w:r>
              <w:rPr>
                <w:rFonts w:hint="eastAsia" w:eastAsia="仿宋_GB2312"/>
                <w:sz w:val="28"/>
                <w:szCs w:val="28"/>
                <w:lang w:eastAsia="zh-CN"/>
              </w:rPr>
              <w:t>助理</w:t>
            </w:r>
            <w:r>
              <w:rPr>
                <w:rFonts w:eastAsia="仿宋_GB2312"/>
                <w:sz w:val="28"/>
                <w:szCs w:val="28"/>
              </w:rPr>
              <w:t>农艺师</w:t>
            </w:r>
          </w:p>
        </w:tc>
        <w:tc>
          <w:tcPr>
            <w:tcW w:w="1701" w:type="dxa"/>
            <w:vAlign w:val="center"/>
          </w:tcPr>
          <w:p w14:paraId="30796D10">
            <w:pPr>
              <w:spacing w:line="560" w:lineRule="exact"/>
              <w:jc w:val="center"/>
              <w:rPr>
                <w:rFonts w:eastAsia="仿宋_GB2312"/>
                <w:sz w:val="28"/>
                <w:szCs w:val="28"/>
              </w:rPr>
            </w:pPr>
            <w:r>
              <w:rPr>
                <w:rFonts w:eastAsia="仿宋_GB2312"/>
                <w:sz w:val="28"/>
                <w:szCs w:val="28"/>
              </w:rPr>
              <w:t>技术指导</w:t>
            </w:r>
          </w:p>
        </w:tc>
      </w:tr>
      <w:tr w14:paraId="72EFB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1143" w:type="dxa"/>
            <w:vAlign w:val="center"/>
          </w:tcPr>
          <w:p w14:paraId="36F6BD16">
            <w:pPr>
              <w:spacing w:line="560" w:lineRule="exact"/>
              <w:jc w:val="center"/>
              <w:rPr>
                <w:rFonts w:eastAsia="仿宋_GB2312"/>
                <w:sz w:val="28"/>
                <w:szCs w:val="28"/>
              </w:rPr>
            </w:pPr>
            <w:r>
              <w:rPr>
                <w:rFonts w:eastAsia="仿宋_GB2312"/>
                <w:sz w:val="28"/>
                <w:szCs w:val="28"/>
              </w:rPr>
              <w:t>王光胜</w:t>
            </w:r>
          </w:p>
        </w:tc>
        <w:tc>
          <w:tcPr>
            <w:tcW w:w="4253" w:type="dxa"/>
            <w:vAlign w:val="center"/>
          </w:tcPr>
          <w:p w14:paraId="32C0D4D4">
            <w:pPr>
              <w:spacing w:before="120" w:line="56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溧阳市农业综合技术推广中心</w:t>
            </w:r>
          </w:p>
        </w:tc>
        <w:tc>
          <w:tcPr>
            <w:tcW w:w="2083" w:type="dxa"/>
            <w:vAlign w:val="center"/>
          </w:tcPr>
          <w:p w14:paraId="2AB188B5">
            <w:pPr>
              <w:spacing w:line="560" w:lineRule="exact"/>
              <w:jc w:val="center"/>
              <w:rPr>
                <w:rFonts w:eastAsia="仿宋_GB2312"/>
                <w:sz w:val="28"/>
                <w:szCs w:val="28"/>
              </w:rPr>
            </w:pPr>
            <w:r>
              <w:rPr>
                <w:rFonts w:eastAsia="仿宋_GB2312"/>
                <w:sz w:val="28"/>
                <w:szCs w:val="28"/>
              </w:rPr>
              <w:t>技术员</w:t>
            </w:r>
          </w:p>
        </w:tc>
        <w:tc>
          <w:tcPr>
            <w:tcW w:w="1701" w:type="dxa"/>
            <w:vAlign w:val="center"/>
          </w:tcPr>
          <w:p w14:paraId="77D64A5D">
            <w:pPr>
              <w:spacing w:line="560" w:lineRule="exact"/>
              <w:jc w:val="center"/>
              <w:rPr>
                <w:rFonts w:eastAsia="仿宋_GB2312"/>
                <w:sz w:val="28"/>
                <w:szCs w:val="28"/>
              </w:rPr>
            </w:pPr>
            <w:r>
              <w:rPr>
                <w:rFonts w:eastAsia="仿宋_GB2312"/>
                <w:sz w:val="28"/>
                <w:szCs w:val="28"/>
              </w:rPr>
              <w:t>技术指导</w:t>
            </w:r>
          </w:p>
        </w:tc>
      </w:tr>
    </w:tbl>
    <w:p w14:paraId="02F62177">
      <w:pPr>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（二）管理责任人</w:t>
      </w:r>
    </w:p>
    <w:p w14:paraId="26E2BC13">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市农业农村局分管领导、市财政局分管领导。</w:t>
      </w:r>
    </w:p>
    <w:p w14:paraId="7BAC7050">
      <w:pPr>
        <w:spacing w:line="52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备注</w:t>
      </w:r>
      <w:r>
        <w:rPr>
          <w:rFonts w:ascii="仿宋_GB2312" w:eastAsia="仿宋_GB2312" w:hAnsiTheme="minorEastAsia"/>
          <w:sz w:val="32"/>
          <w:szCs w:val="32"/>
        </w:rPr>
        <w:t>:</w:t>
      </w:r>
      <w:r>
        <w:rPr>
          <w:rFonts w:hint="eastAsia" w:ascii="仿宋_GB2312" w:eastAsia="仿宋_GB2312" w:hAnsiTheme="minorEastAsia"/>
          <w:sz w:val="32"/>
          <w:szCs w:val="32"/>
        </w:rPr>
        <w:t>若有新增工作任务，再作方案补充同时增加相关资金预算。</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1070532"/>
    </w:sdtPr>
    <w:sdtContent>
      <w:p w14:paraId="68680CF7">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14:paraId="7AC6567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wOTY0ZDdmNWFkOTMxMGM2ZTEwNmNlNzM0MjdkZDAifQ=="/>
  </w:docVars>
  <w:rsids>
    <w:rsidRoot w:val="00F10A91"/>
    <w:rsid w:val="00014439"/>
    <w:rsid w:val="0002712D"/>
    <w:rsid w:val="0003495C"/>
    <w:rsid w:val="00044A85"/>
    <w:rsid w:val="00053E9D"/>
    <w:rsid w:val="00060D5A"/>
    <w:rsid w:val="00062323"/>
    <w:rsid w:val="00071652"/>
    <w:rsid w:val="00076A33"/>
    <w:rsid w:val="00084A48"/>
    <w:rsid w:val="000B0B44"/>
    <w:rsid w:val="000D1832"/>
    <w:rsid w:val="000E0189"/>
    <w:rsid w:val="000E2D46"/>
    <w:rsid w:val="000F0155"/>
    <w:rsid w:val="00101A73"/>
    <w:rsid w:val="00111228"/>
    <w:rsid w:val="00117860"/>
    <w:rsid w:val="00126157"/>
    <w:rsid w:val="0012632A"/>
    <w:rsid w:val="001307A8"/>
    <w:rsid w:val="001335F4"/>
    <w:rsid w:val="00141B98"/>
    <w:rsid w:val="00160A0C"/>
    <w:rsid w:val="001705BC"/>
    <w:rsid w:val="0017534B"/>
    <w:rsid w:val="00183D6E"/>
    <w:rsid w:val="00191476"/>
    <w:rsid w:val="00192512"/>
    <w:rsid w:val="00192F62"/>
    <w:rsid w:val="001A1ADB"/>
    <w:rsid w:val="001B2525"/>
    <w:rsid w:val="001C71C6"/>
    <w:rsid w:val="001D31D4"/>
    <w:rsid w:val="001F3407"/>
    <w:rsid w:val="001F386C"/>
    <w:rsid w:val="001F735B"/>
    <w:rsid w:val="002001CA"/>
    <w:rsid w:val="00210371"/>
    <w:rsid w:val="002165C0"/>
    <w:rsid w:val="00223568"/>
    <w:rsid w:val="00227C81"/>
    <w:rsid w:val="0024082D"/>
    <w:rsid w:val="002438E6"/>
    <w:rsid w:val="00243D1C"/>
    <w:rsid w:val="00245DFB"/>
    <w:rsid w:val="00245E51"/>
    <w:rsid w:val="00257FD9"/>
    <w:rsid w:val="002617E9"/>
    <w:rsid w:val="002623A9"/>
    <w:rsid w:val="00265557"/>
    <w:rsid w:val="00280AC6"/>
    <w:rsid w:val="0028158D"/>
    <w:rsid w:val="00290A1D"/>
    <w:rsid w:val="00295119"/>
    <w:rsid w:val="002A1346"/>
    <w:rsid w:val="002B4413"/>
    <w:rsid w:val="002E0EBA"/>
    <w:rsid w:val="002F34F8"/>
    <w:rsid w:val="002F738B"/>
    <w:rsid w:val="00303C1E"/>
    <w:rsid w:val="00312C0B"/>
    <w:rsid w:val="0032301E"/>
    <w:rsid w:val="00333DA4"/>
    <w:rsid w:val="00340DC0"/>
    <w:rsid w:val="003437E3"/>
    <w:rsid w:val="00346E93"/>
    <w:rsid w:val="00346EB3"/>
    <w:rsid w:val="003576B4"/>
    <w:rsid w:val="003861CD"/>
    <w:rsid w:val="0039121D"/>
    <w:rsid w:val="003C387E"/>
    <w:rsid w:val="003D2385"/>
    <w:rsid w:val="003E0EEA"/>
    <w:rsid w:val="003E5677"/>
    <w:rsid w:val="003F0885"/>
    <w:rsid w:val="00402340"/>
    <w:rsid w:val="00402A9C"/>
    <w:rsid w:val="00427521"/>
    <w:rsid w:val="00427617"/>
    <w:rsid w:val="00431F5D"/>
    <w:rsid w:val="00441BD1"/>
    <w:rsid w:val="004424DA"/>
    <w:rsid w:val="004517FA"/>
    <w:rsid w:val="00462279"/>
    <w:rsid w:val="00464E0C"/>
    <w:rsid w:val="004706FD"/>
    <w:rsid w:val="004710AF"/>
    <w:rsid w:val="00484AAD"/>
    <w:rsid w:val="004915E9"/>
    <w:rsid w:val="004951C7"/>
    <w:rsid w:val="004B0420"/>
    <w:rsid w:val="004B2065"/>
    <w:rsid w:val="004B3B3A"/>
    <w:rsid w:val="004B738C"/>
    <w:rsid w:val="004E501A"/>
    <w:rsid w:val="004F2D7A"/>
    <w:rsid w:val="00506FC4"/>
    <w:rsid w:val="00510214"/>
    <w:rsid w:val="00520532"/>
    <w:rsid w:val="00521564"/>
    <w:rsid w:val="00527698"/>
    <w:rsid w:val="00546851"/>
    <w:rsid w:val="00553622"/>
    <w:rsid w:val="005629B8"/>
    <w:rsid w:val="00573517"/>
    <w:rsid w:val="005855E7"/>
    <w:rsid w:val="00594D7C"/>
    <w:rsid w:val="00596135"/>
    <w:rsid w:val="005A1EF6"/>
    <w:rsid w:val="005C3B98"/>
    <w:rsid w:val="005C4F44"/>
    <w:rsid w:val="005D10EB"/>
    <w:rsid w:val="005D3405"/>
    <w:rsid w:val="005D52D2"/>
    <w:rsid w:val="005E62A0"/>
    <w:rsid w:val="00604830"/>
    <w:rsid w:val="006160BD"/>
    <w:rsid w:val="006207AD"/>
    <w:rsid w:val="00621797"/>
    <w:rsid w:val="00624CA8"/>
    <w:rsid w:val="00627E98"/>
    <w:rsid w:val="00643F22"/>
    <w:rsid w:val="00653DE2"/>
    <w:rsid w:val="006552EA"/>
    <w:rsid w:val="0069238F"/>
    <w:rsid w:val="006A14AB"/>
    <w:rsid w:val="006B4CEC"/>
    <w:rsid w:val="006C3F8D"/>
    <w:rsid w:val="006C6994"/>
    <w:rsid w:val="006E0101"/>
    <w:rsid w:val="006E174E"/>
    <w:rsid w:val="006F3D70"/>
    <w:rsid w:val="006F3D91"/>
    <w:rsid w:val="00714F1E"/>
    <w:rsid w:val="00737AD5"/>
    <w:rsid w:val="00744B5E"/>
    <w:rsid w:val="007458EE"/>
    <w:rsid w:val="00751677"/>
    <w:rsid w:val="00776B69"/>
    <w:rsid w:val="00777270"/>
    <w:rsid w:val="00777574"/>
    <w:rsid w:val="00791259"/>
    <w:rsid w:val="00794DB9"/>
    <w:rsid w:val="0079511B"/>
    <w:rsid w:val="007D39B4"/>
    <w:rsid w:val="007D51BC"/>
    <w:rsid w:val="007E086F"/>
    <w:rsid w:val="007E52A2"/>
    <w:rsid w:val="007F37E5"/>
    <w:rsid w:val="007F51A0"/>
    <w:rsid w:val="008065A1"/>
    <w:rsid w:val="00820543"/>
    <w:rsid w:val="008223F1"/>
    <w:rsid w:val="008360CD"/>
    <w:rsid w:val="008505B3"/>
    <w:rsid w:val="00866701"/>
    <w:rsid w:val="00866B8E"/>
    <w:rsid w:val="008820E3"/>
    <w:rsid w:val="00882CA3"/>
    <w:rsid w:val="008878B8"/>
    <w:rsid w:val="008A3E03"/>
    <w:rsid w:val="008B03D4"/>
    <w:rsid w:val="008B4DDD"/>
    <w:rsid w:val="008B7FA3"/>
    <w:rsid w:val="008C0C04"/>
    <w:rsid w:val="008C73E4"/>
    <w:rsid w:val="008F1EE8"/>
    <w:rsid w:val="008F4A5F"/>
    <w:rsid w:val="00901287"/>
    <w:rsid w:val="00903E80"/>
    <w:rsid w:val="009052F0"/>
    <w:rsid w:val="00907EAF"/>
    <w:rsid w:val="00912542"/>
    <w:rsid w:val="00923592"/>
    <w:rsid w:val="00930EA4"/>
    <w:rsid w:val="0093358E"/>
    <w:rsid w:val="009348B2"/>
    <w:rsid w:val="0093768C"/>
    <w:rsid w:val="009439E6"/>
    <w:rsid w:val="0094694F"/>
    <w:rsid w:val="00972C5B"/>
    <w:rsid w:val="0099154E"/>
    <w:rsid w:val="009B04F8"/>
    <w:rsid w:val="009B1F41"/>
    <w:rsid w:val="009C0EE4"/>
    <w:rsid w:val="009C2B25"/>
    <w:rsid w:val="009C58BD"/>
    <w:rsid w:val="009F3CFB"/>
    <w:rsid w:val="009F475A"/>
    <w:rsid w:val="00A13774"/>
    <w:rsid w:val="00A147D4"/>
    <w:rsid w:val="00A17755"/>
    <w:rsid w:val="00A234F1"/>
    <w:rsid w:val="00A34D14"/>
    <w:rsid w:val="00A361E8"/>
    <w:rsid w:val="00A4526A"/>
    <w:rsid w:val="00A473C4"/>
    <w:rsid w:val="00A52DCD"/>
    <w:rsid w:val="00A60BF6"/>
    <w:rsid w:val="00A62052"/>
    <w:rsid w:val="00A74D8A"/>
    <w:rsid w:val="00A81058"/>
    <w:rsid w:val="00A9585D"/>
    <w:rsid w:val="00A96DBC"/>
    <w:rsid w:val="00A97E96"/>
    <w:rsid w:val="00AC0604"/>
    <w:rsid w:val="00AC18BB"/>
    <w:rsid w:val="00AD1B60"/>
    <w:rsid w:val="00AD7DF4"/>
    <w:rsid w:val="00AE18CD"/>
    <w:rsid w:val="00AE2B9D"/>
    <w:rsid w:val="00AF08CF"/>
    <w:rsid w:val="00AF1E1C"/>
    <w:rsid w:val="00B03135"/>
    <w:rsid w:val="00B07524"/>
    <w:rsid w:val="00B1377A"/>
    <w:rsid w:val="00B16F83"/>
    <w:rsid w:val="00B16FA9"/>
    <w:rsid w:val="00B176E6"/>
    <w:rsid w:val="00B25347"/>
    <w:rsid w:val="00B45B88"/>
    <w:rsid w:val="00B66B7C"/>
    <w:rsid w:val="00B85AC9"/>
    <w:rsid w:val="00B95E50"/>
    <w:rsid w:val="00B97722"/>
    <w:rsid w:val="00BA493F"/>
    <w:rsid w:val="00BB0D0E"/>
    <w:rsid w:val="00BD4E7F"/>
    <w:rsid w:val="00BE37D4"/>
    <w:rsid w:val="00BF21A0"/>
    <w:rsid w:val="00BF7698"/>
    <w:rsid w:val="00C0145E"/>
    <w:rsid w:val="00C06047"/>
    <w:rsid w:val="00C207D4"/>
    <w:rsid w:val="00C25A05"/>
    <w:rsid w:val="00C373C8"/>
    <w:rsid w:val="00C41070"/>
    <w:rsid w:val="00C44FEF"/>
    <w:rsid w:val="00C519C0"/>
    <w:rsid w:val="00C52B4B"/>
    <w:rsid w:val="00C52C22"/>
    <w:rsid w:val="00C54C35"/>
    <w:rsid w:val="00C564FE"/>
    <w:rsid w:val="00C61F9A"/>
    <w:rsid w:val="00C83C64"/>
    <w:rsid w:val="00CB2801"/>
    <w:rsid w:val="00CB42DD"/>
    <w:rsid w:val="00CC0508"/>
    <w:rsid w:val="00CC149D"/>
    <w:rsid w:val="00CC4102"/>
    <w:rsid w:val="00CC481E"/>
    <w:rsid w:val="00CD1A5B"/>
    <w:rsid w:val="00CD49A5"/>
    <w:rsid w:val="00CD6E7B"/>
    <w:rsid w:val="00CE4A9A"/>
    <w:rsid w:val="00CE5A14"/>
    <w:rsid w:val="00CF5F63"/>
    <w:rsid w:val="00D02475"/>
    <w:rsid w:val="00D12D99"/>
    <w:rsid w:val="00D14784"/>
    <w:rsid w:val="00D22030"/>
    <w:rsid w:val="00D30734"/>
    <w:rsid w:val="00D446D7"/>
    <w:rsid w:val="00D72DB8"/>
    <w:rsid w:val="00D72FA3"/>
    <w:rsid w:val="00D77D24"/>
    <w:rsid w:val="00D93FCF"/>
    <w:rsid w:val="00DA3FAB"/>
    <w:rsid w:val="00DA4841"/>
    <w:rsid w:val="00DA6191"/>
    <w:rsid w:val="00DD01F3"/>
    <w:rsid w:val="00DE0621"/>
    <w:rsid w:val="00DE2A30"/>
    <w:rsid w:val="00DE2FDE"/>
    <w:rsid w:val="00DF2234"/>
    <w:rsid w:val="00E00101"/>
    <w:rsid w:val="00E142AC"/>
    <w:rsid w:val="00E2008C"/>
    <w:rsid w:val="00E23D17"/>
    <w:rsid w:val="00E25AA5"/>
    <w:rsid w:val="00E36E37"/>
    <w:rsid w:val="00E458D5"/>
    <w:rsid w:val="00E45FF8"/>
    <w:rsid w:val="00E60863"/>
    <w:rsid w:val="00E80A61"/>
    <w:rsid w:val="00E87E20"/>
    <w:rsid w:val="00E912C9"/>
    <w:rsid w:val="00E934A0"/>
    <w:rsid w:val="00EC72B4"/>
    <w:rsid w:val="00EC7600"/>
    <w:rsid w:val="00ED7C2B"/>
    <w:rsid w:val="00EE1560"/>
    <w:rsid w:val="00EE53E9"/>
    <w:rsid w:val="00F038AC"/>
    <w:rsid w:val="00F038E2"/>
    <w:rsid w:val="00F10A91"/>
    <w:rsid w:val="00F148A1"/>
    <w:rsid w:val="00F17D0D"/>
    <w:rsid w:val="00F33E71"/>
    <w:rsid w:val="00F3589F"/>
    <w:rsid w:val="00F40372"/>
    <w:rsid w:val="00F5746A"/>
    <w:rsid w:val="00F65648"/>
    <w:rsid w:val="00F7431D"/>
    <w:rsid w:val="00F91AAD"/>
    <w:rsid w:val="00FA08E8"/>
    <w:rsid w:val="00FA634D"/>
    <w:rsid w:val="00FB6E7A"/>
    <w:rsid w:val="00FC158C"/>
    <w:rsid w:val="00FD0E46"/>
    <w:rsid w:val="00FD1D95"/>
    <w:rsid w:val="00FD63E1"/>
    <w:rsid w:val="00FE4D22"/>
    <w:rsid w:val="00FF2E32"/>
    <w:rsid w:val="00FF5E4E"/>
    <w:rsid w:val="047563BF"/>
    <w:rsid w:val="0CFA3905"/>
    <w:rsid w:val="107C5139"/>
    <w:rsid w:val="16467698"/>
    <w:rsid w:val="21584AF8"/>
    <w:rsid w:val="22645FCD"/>
    <w:rsid w:val="27DA3507"/>
    <w:rsid w:val="302B3D82"/>
    <w:rsid w:val="36682E5F"/>
    <w:rsid w:val="37F55422"/>
    <w:rsid w:val="3922266C"/>
    <w:rsid w:val="3C6C5B17"/>
    <w:rsid w:val="416C131D"/>
    <w:rsid w:val="48AE5C0F"/>
    <w:rsid w:val="599975CF"/>
    <w:rsid w:val="5C956724"/>
    <w:rsid w:val="5D1C086D"/>
    <w:rsid w:val="616C1870"/>
    <w:rsid w:val="74E92D60"/>
    <w:rsid w:val="7836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semiHidden/>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fontstyle01"/>
    <w:basedOn w:val="7"/>
    <w:qFormat/>
    <w:uiPriority w:val="0"/>
    <w:rPr>
      <w:rFonts w:hint="eastAsia" w:ascii="仿宋_GB2312" w:eastAsia="仿宋_GB2312"/>
      <w:color w:val="000000"/>
      <w:sz w:val="32"/>
      <w:szCs w:val="32"/>
    </w:rPr>
  </w:style>
  <w:style w:type="character" w:customStyle="1" w:styleId="12">
    <w:name w:val="fontstyle21"/>
    <w:basedOn w:val="7"/>
    <w:qFormat/>
    <w:uiPriority w:val="0"/>
    <w:rPr>
      <w:rFonts w:hint="default" w:ascii="TimesNewRoman" w:hAnsi="TimesNewRoman"/>
      <w:color w:val="000000"/>
      <w:sz w:val="32"/>
      <w:szCs w:val="32"/>
    </w:rPr>
  </w:style>
  <w:style w:type="character" w:customStyle="1" w:styleId="13">
    <w:name w:val="批注框文本 字符"/>
    <w:basedOn w:val="7"/>
    <w:link w:val="2"/>
    <w:semiHidden/>
    <w:qFormat/>
    <w:uiPriority w:val="99"/>
    <w:rPr>
      <w:rFonts w:ascii="Times New Roman" w:hAnsi="Times New Roman" w:eastAsia="宋体" w:cs="Times New Roman"/>
      <w:kern w:val="2"/>
      <w:sz w:val="18"/>
      <w:szCs w:val="18"/>
    </w:rPr>
  </w:style>
  <w:style w:type="table" w:customStyle="1" w:styleId="14">
    <w:name w:val="网格型1"/>
    <w:basedOn w:val="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95CA-CFDE-45CF-995C-93DB0B17A1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1877</Words>
  <Characters>1938</Characters>
  <Lines>14</Lines>
  <Paragraphs>4</Paragraphs>
  <TotalTime>112</TotalTime>
  <ScaleCrop>false</ScaleCrop>
  <LinksUpToDate>false</LinksUpToDate>
  <CharactersWithSpaces>1942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2024-01-23T00:58:00Z</dcterms:created>
  <dc:creator>China</dc:creator>
  <cp:lastModifiedBy>居倪萍</cp:lastModifiedBy>
  <cp:lastPrinted>2024-10-25T07:51:46Z</cp:lastPrinted>
  <dcterms:modified xsi:type="dcterms:W3CDTF">2024-10-25T07:52:38Z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F83E243BF87B4DCBB1F6431725B351B3_13</vt:lpwstr>
  </property>
</Properties>
</file>