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pPr>
              <w:pStyle w:val="8"/>
              <w:spacing w:line="360" w:lineRule="auto"/>
              <w:rPr>
                <w:rFonts w:hint="eastAsia" w:ascii="仿宋" w:hAnsi="仿宋" w:eastAsia="仿宋" w:cs="仿宋"/>
                <w:b/>
                <w:bCs/>
                <w:color w:val="FF0000"/>
                <w:sz w:val="22"/>
                <w:szCs w:val="22"/>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top"/>
          </w:tcPr>
          <w:p>
            <w:pPr>
              <w:ind w:right="284" w:rightChars="129"/>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2023年度溧阳市应急管理局部门决算公开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tabs>
          <w:tab w:val="left" w:pos="880"/>
        </w:tabs>
        <w:spacing w:line="718" w:lineRule="exact"/>
        <w:ind w:right="313" w:firstLine="0"/>
        <w:outlineLvl w:val="0"/>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spacing w:before="7" w:after="0"/>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outlineLvl w:val="0"/>
        <w:rPr>
          <w:rFonts w:hint="eastAsia" w:ascii="黑体" w:hAnsi="黑体" w:eastAsia="黑体" w:cs="黑体"/>
          <w:b w:val="0"/>
          <w:bCs w:val="0"/>
        </w:rPr>
      </w:pPr>
      <w:r>
        <w:rPr>
          <w:rFonts w:hint="eastAsia" w:ascii="黑体" w:hAnsi="黑体" w:eastAsia="黑体" w:cs="黑体"/>
          <w:b w:val="0"/>
          <w:bCs w:val="0"/>
        </w:rPr>
        <w:t xml:space="preserve">第一部分 </w:t>
      </w:r>
      <w:r>
        <w:rPr>
          <w:rFonts w:hint="eastAsia" w:ascii="黑体" w:hAnsi="黑体" w:eastAsia="黑体" w:cs="黑体"/>
          <w:b w:val="0"/>
          <w:bCs w:val="0"/>
          <w:lang w:val="en-US" w:eastAsia="zh-CN"/>
        </w:rPr>
        <w:t>部门</w:t>
      </w:r>
      <w:r>
        <w:rPr>
          <w:rFonts w:hint="eastAsia" w:ascii="黑体" w:hAnsi="黑体" w:eastAsia="黑体" w:cs="黑体"/>
          <w:b w:val="0"/>
          <w:bCs w:val="0"/>
        </w:rPr>
        <w:t>概况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机构设置及决算单位构成情况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w:t>
      </w:r>
      <w:r>
        <w:rPr>
          <w:rFonts w:hint="eastAsia" w:ascii="仿宋" w:hAnsi="仿宋" w:eastAsia="仿宋" w:cs="仿宋"/>
          <w:lang w:val="en-US" w:eastAsia="zh-CN"/>
        </w:rPr>
        <w:t>3</w:t>
      </w:r>
      <w:r>
        <w:rPr>
          <w:rFonts w:hint="eastAsia" w:ascii="仿宋" w:hAnsi="仿宋" w:eastAsia="仿宋" w:cs="仿宋"/>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rPr>
      </w:pPr>
      <w:r>
        <w:rPr>
          <w:rFonts w:hint="eastAsia" w:ascii="黑体" w:hAnsi="黑体" w:eastAsia="黑体" w:cs="黑体"/>
          <w:b w:val="0"/>
          <w:bCs w:val="0"/>
          <w:lang w:val="en-US" w:eastAsia="zh-CN"/>
        </w:rPr>
        <w:t>第二部分 2023年度</w:t>
      </w:r>
      <w:r>
        <w:rPr>
          <w:rFonts w:ascii="黑体" w:hAnsi="黑体" w:cs="黑体" w:eastAsia="黑体"/>
        </w:rPr>
        <w:t>部门</w:t>
      </w:r>
      <w:r>
        <w:rPr>
          <w:rFonts w:ascii="黑体" w:hAnsi="黑体" w:cs="黑体" w:eastAsia="黑体"/>
        </w:rPr>
        <w:t>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spacing w:val="-2"/>
        </w:rPr>
        <w:t>一、收入支出决算总表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rPr>
        <w:t>二、收入决算表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w w:val="95"/>
        </w:rPr>
        <w:t>三、支出决算表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六、财政拨款基本支出决算表（经济科目） 七、一般公共预算支出决算表（功能科目）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eastAsia="zh-CN"/>
        </w:rPr>
        <w:t>财政拨款</w:t>
      </w:r>
      <w:r>
        <w:rPr>
          <w:rFonts w:hint="eastAsia" w:ascii="仿宋" w:hAnsi="仿宋" w:eastAsia="仿宋" w:cs="仿宋"/>
        </w:rPr>
        <w:t>“三公”经费、会议费、培训费支出决算表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default" w:ascii="仿宋" w:hAnsi="仿宋" w:eastAsia="仿宋" w:cs="仿宋"/>
          <w:lang w:val="en-US" w:eastAsia="zh-CN"/>
        </w:rPr>
      </w:pPr>
      <w:r>
        <w:rPr>
          <w:rFonts w:hint="eastAsia" w:ascii="仿宋" w:hAnsi="仿宋" w:eastAsia="仿宋" w:cs="仿宋"/>
        </w:rPr>
        <w:t>十一、</w:t>
      </w:r>
      <w:r>
        <w:rPr>
          <w:rFonts w:hint="eastAsia" w:ascii="仿宋" w:hAnsi="仿宋" w:eastAsia="仿宋" w:cs="仿宋"/>
          <w:lang w:val="en-US" w:eastAsia="zh-CN"/>
        </w:rPr>
        <w:t>国有资本经营预算支出决算表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w:t>
      </w:r>
      <w:r>
        <w:rPr>
          <w:rFonts w:hint="eastAsia" w:ascii="仿宋" w:hAnsi="仿宋" w:eastAsia="仿宋" w:cs="仿宋"/>
          <w:lang w:val="en-US" w:eastAsia="zh-CN"/>
        </w:rPr>
        <w:t>财政拨款</w:t>
      </w:r>
      <w:r>
        <w:rPr>
          <w:rFonts w:hint="eastAsia" w:ascii="仿宋" w:hAnsi="仿宋" w:eastAsia="仿宋" w:cs="仿宋"/>
        </w:rPr>
        <w:t>机关运行经费支出决算表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第三部分 2023年度</w:t>
      </w:r>
      <w:r>
        <w:rPr>
          <w:rFonts w:ascii="黑体" w:hAnsi="黑体" w:cs="黑体" w:eastAsia="黑体"/>
        </w:rPr>
        <w:t>部门</w:t>
      </w:r>
      <w:r>
        <w:rPr>
          <w:rFonts w:ascii="黑体" w:hAnsi="黑体" w:cs="黑体" w:eastAsia="黑体"/>
        </w:rPr>
        <w:t>决算情况说明</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default" w:ascii="仿宋" w:hAnsi="仿宋" w:eastAsia="仿宋" w:cs="仿宋"/>
          <w:b/>
          <w:bCs/>
          <w:color w:val="000000"/>
          <w:sz w:val="30"/>
          <w:szCs w:val="30"/>
          <w:lang w:val="en-US" w:eastAsia="zh-CN" w:bidi="ar"/>
        </w:rPr>
      </w:pPr>
      <w:r>
        <w:rPr>
          <w:rFonts w:hint="eastAsia" w:ascii="黑体" w:hAnsi="黑体" w:eastAsia="黑体" w:cs="黑体"/>
          <w:b w:val="0"/>
          <w:bCs w:val="0"/>
          <w:lang w:val="en-US" w:eastAsia="zh-CN"/>
        </w:rPr>
        <w:t>第四部分 名词解释</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700" w:bottom="770" w:left="1020" w:header="283"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outlineLvl w:val="0"/>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eastAsia="zh-CN"/>
        </w:rPr>
        <w:t xml:space="preserve"> </w:t>
      </w:r>
      <w:r>
        <w:rPr>
          <w:rFonts w:hint="eastAsia" w:ascii="宋体" w:hAnsi="宋体" w:eastAsia="宋体" w:cs="宋体"/>
          <w:b/>
          <w:bCs/>
        </w:rPr>
        <w:t>部门</w:t>
      </w:r>
      <w:r>
        <w:rPr>
          <w:rFonts w:hint="eastAsia" w:ascii="宋体" w:hAnsi="宋体" w:eastAsia="宋体" w:cs="宋体"/>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（一）负责应急管理工作，指导全市各级各部门应对安全生产类、自然灾害类等突发事件和综合防灾减灾救灾工作。负责安全生产综合监督管理和工矿商贸行业安全生产监督管理工作。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（二）拟订应急管理、安全生产等政策，组织编制市应急体系建设、安全生产和综合防灾减灾规划。起草相关规范性文件草案，监督相关法律法规、规程和标准的实施。</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指导应急预案体系建设，建立完善事故灾难和自然灾害分级应对制度。组织编制市总体应急预案和安全生产类、自然灾害类专项预案。综合协调应急预案衔接工作，组织开展预案演练，推动应急避难场所和设施建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（四）牵头建立统一的应急管理信息系统，负责信息传输渠道的规划和布局。建立监测预警和灾情报告制度，健全自然灾害信息资源获取和共享机制，依法统一发布灾情。</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组织指导协调安全生产类、自然灾害类等突发事件应急救援。承担市应对较大灾害指挥部工作，综合研判突发事件发展态势并提出应对建议，协助市委、市政府指定的负责同志组织较大以上灾害应急处置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（六）统一协调指挥各类应急专业队伍，建立应急协调联动机制，推进指挥平台对接，提请、衔接解放军和武警部队参与应急救援工作。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（七）统筹消防、森林火灾扑救、抗洪抢险、地震和地质灾害救援、生产安全事故救援等专业应急救援力量建设，指导综合性应急救援队伍、各级各部门及社会应急救援力量建设。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（八）组织协调消防管理工作，指导全市各级消防监督、火灾预防、火灾扑救等工作。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（九）指导协调森林火灾、水旱灾害、地震和地质灾害等防治工作。负责自然灾害综合监测预警工作，指导开展自然灾害综合风险评估工作。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（十）组织协调灾害救助工作，组织指导灾情核查、损失评估、救灾捐赠工作，管理、分配上级下拨和市级救灾款物并监督使用。</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（十一）依法行使安全生产综合监督管理职权，指导协调、监督检查市政府有关部门和各镇（区）政府安全生产工作，组织开展安全生产巡查、考核工作。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二）按照分级、属地原则，依法开展安全生产行政执法工作，对生产经营单位执行有关安全生产法律法规和国家标准的情况进行监督检查。依法组织并指导监督实施安全生产准入制度。负责危险化学品安全监督管理综合工作和烟花爆竹安全生产监督管理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（十三）依法组织指导生产安全事故调查处理，监督事故查处和责任追究落实情况。组织开展自然灾害类突发事件的调查评估工作。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（十四）开展应急管理、安全生产等方面的对外交流与合作，组织参与安全生产类、自然灾害类等突发事件的跨区域救援工作。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（十五）制定应急物资储备和应急救援装备规划并组织实施，会同市发展和改革委员会等部门建立健全应急物资信息平台和调拨制度，在救灾时统一调度。</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（十六）负责应急管理、安全生产、防灾减灾宣传教育和培训考核工作。组织指导相关科学技术研究、推广应用和信息化建设工作。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（十七）完成市委、市政府交办的其他任务。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八）职能转变。市应急管理局应加强、优化、统筹全市应急能力建设，构建统一领导、权责一致、权威高效的应急能力体系，推动形成统一指挥、专常兼备、反应灵敏、上下联动、平战结合的应急管理体制。一是坚持以防为主、防抗救结合，坚持常态减灾和非常态救灾相统一，努力实现从注重灾后救助向注重灾前预防转变，从应对单一灾种向综合减灾转变，从减少灾害损失向减轻灾害风险转变，提高我市应急管理水平和防灾减灾救灾能力，防范化解重大安全风险。二是坚持以人为本，把确保人民群众生命安全放在首位，确保受灾群众基本生活，加强应急预案演练，增强全民防灾减灾意识，提升公众知识普及和自救互救技能，切实减少人员伤亡和财产损失。三是树立安全发展理念，坚持生命至上、安全第一，完善安全生产责任制，坚决遏制重大以上安全事故。</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（十九）有关职责分工</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1．与市自然资源局、市水利局等部门在自然灾害防救方面的职责分工。</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市应急管理局负责组织编制市总体应急预案和安全生产类、自然灾害类专项预案，综合协调应急预案衔接工作，组织开展预案演练。按照分级负责的原则，指导自然灾害类应急救援；组织协调较大灾害应急救援工作，并按权限作出决定；承担市应对较大灾害指挥部工作，协助市委、市政府指定的负责同志组织较大灾害应急处置工作。组织编制综合防灾减灾规划，指导协调相关部门森林火灾、水旱灾害、地震和地质灾害等防治工作；会同市自然资源局、市水利局、市气象局等有关部门建立统一的应急管理信息平台，建立监测预警和灾情报告制度，健全自然灾害信息资源获取和共享机制，依法统一发布灾情。开展多灾种和灾害链综合监测预警，指导开展自然灾害综合风险评估。协调开展森林火情监测预警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市自然资源局负责落实综合防灾减灾规划相关要求，组织编制地质灾害防治规划和防护标准并指导实施。组织指导协调和监督地质灾害调查评价及隐患的普查、详查、排查。指导开展群测群防、专业监测和预报预警等工作，指导开展地质灾害工程治理工作。承担地质灾害应急救援的技术支撑工作。组织编制森林火灾防治规划和防护标准并指导实施。指导开展森林防火巡护、火源管理、防火设施建设等工作。组织指导开展森林防火宣传教育、监测预警、督促检查等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市水利局负责落实综合防灾减灾规划相关要求，组织编制洪水干旱灾害防治规划和防护标准并指导实施。承担水情旱情监测预警工作。组织编制重要江河湖泊和重要水工程的防御洪水抗御旱灾调度和应急水量调度方案，按程序报批并组织实施。承担防御洪水应急抢险的技术支撑工作。承担台风防御期间重要水工程调度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（4）必要时，市自然资源局、市水利局等部门可以提请市应急管理局，以市应急指挥机构名义部署相关防治工作。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2．与市发展和改革委员会在市级救灾物资储备方面的职责分工。</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（1）市应急管理局负责提出市级救灾物资的储备需求和动用决策，组织编制市级救灾物资储备规划、品种目录和标准，会同市发展和改革委员会等部门确定年度购置计划，根据需要下达动用指令。</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（2）市发展和改革委员会根据市级救灾物资储备规划、品种目录和标准、年度购置计划，负责市级救灾物资的收储、轮换和日常管理，根据市应急管理局的动用指令按程序组织调出。</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二、</w:t>
      </w:r>
      <w:r>
        <w:rPr>
          <w:rFonts w:ascii="黑体" w:hAnsi="黑体" w:cs="黑体" w:eastAsia="黑体"/>
        </w:rPr>
        <w:t>部门</w:t>
      </w:r>
      <w:r>
        <w:rPr>
          <w:rFonts w:hint="eastAsia" w:ascii="黑体" w:hAnsi="黑体" w:eastAsia="黑体" w:cs="黑体"/>
          <w:b w:val="0"/>
          <w:bCs w:val="0"/>
        </w:rPr>
        <w:t>机构设置及决算单位构成情况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rPr>
      </w:pPr>
      <w:r>
        <w:rPr>
          <w:rFonts w:hint="eastAsia" w:ascii="仿宋" w:hAnsi="仿宋" w:eastAsia="仿宋" w:cs="仿宋"/>
          <w:lang w:val="en-US" w:eastAsia="zh-CN"/>
        </w:rPr>
        <w:t/>
      </w:r>
      <w:r>
        <w:rPr>
          <w:rFonts w:hint="eastAsia" w:ascii="仿宋" w:hAnsi="仿宋" w:eastAsia="仿宋" w:cs="仿宋"/>
          <w:lang w:val="en-US" w:eastAsia="zh-CN"/>
        </w:rPr>
        <w:t>1.</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本部门内设机构包括</w:t>
      </w:r>
      <w:r>
        <w:rPr>
          <w:rFonts w:ascii="仿宋" w:hAnsi="仿宋" w:cs="仿宋" w:eastAsia="仿宋"/>
        </w:rPr>
        <w:t/>
      </w:r>
      <w:r>
        <w:rPr>
          <w:rFonts w:ascii="仿宋" w:hAnsi="仿宋" w:cs="仿宋" w:eastAsia="仿宋"/>
        </w:rPr>
        <w:t/>
      </w:r>
      <w:r>
        <w:rPr>
          <w:rFonts w:ascii="仿宋" w:hAnsi="仿宋" w:cs="仿宋" w:eastAsia="仿宋"/>
        </w:rPr>
        <w:t>（一）办公室（新闻宣传科）。负责机关日常运转，承担信息、安全、保密、信访、政务公开、重要文稿起草等工作；承担应急管理和安全生产、防灾减灾救灾方面的新闻宣传、舆情应对、文化建设等工作；开展相关公众知识普及工作；负责部门预决算、财务、装备和资产管理、内部审计工作；指导监督直属单位财务和资产管理工作；负责机关和直属单位干部人事、机构编制、劳动工资等工作；按干部管理权限，承担出国出境人员的审核报批工作；负责机关退休干部工作，指导直属单位的退休干部工作。（二）应急指挥中心（救援协调和预案管理科）。承担应急值守、政务值班、信息汇总、综合协调等工作；拟订事故灾难和自然灾害分级应对制度，发布预警和灾情信息；提请、衔接解放军和武警部队参与应急救援工作。统筹应急预案体系建设，组织编制市总体应急预案和安全生产类、自然灾害类专项预案并负责各类应急预案衔接协调，承担预案演练的组织实施和指导监督工作；统筹各类专业应急救援力量建设，指导各级各部门和社会应急救援力量建设，组织指导应急管理社会动员工作；开展应急管理和安全生产方面的对外合作与交流，组织参与安全生产类、自然灾害类等突发事件的跨区域救援工作。（三）调查统计和综合减灾科。依法承担生产安全事故调查处理工作，监督事故查处和责任追究落实情况；组织开展自然灾害类突发事件的调查评估工作；负责应急管理和安全生产、防灾减灾救灾统计分析工作；建立重大安全生产风险监测预警和评估论证机制；承担自然灾害综合监测预警工作，组织开展自然灾害综合风险与减灾能力调查评估。（四）灾害救援协调科（火灾监督科）。组织协调水旱灾害应急救援工作，协调指导重要江河湖泊、重要水工程实施防御洪水抗御旱灾调度和应急水量调度工作；组织协调台风防御工作；指导协调水旱灾害防治工作；指导协调地震和地质灾害防治相关工作；组织协调地震应急救援工作，组织较大以上地质灾害应急救援。监督消防技术标准实施情况，指导城镇、农村、森林消防工作规划编制并推进落实；指导消防监督、火灾预防、火灾扑救工作。（五）危险化学品安全监督管理科（行政服务科）。负责化工（含石油化工）、医药、危险化学品和烟花爆竹安全生产监督管理工作，依法监督检查相关行业生产经营单位贯彻落实安全生产法律法规和标准情况；承担危险化学品安全监督管理综合工作，指导危险化学品登记工作，指导非药品类易制毒化学品生产经营监督管理工作；承担行政审批制度改革相关工作，承担非煤矿矿山、储存烟花爆竹、金属冶炼、危险化学品建设项目安全设施设计审查，危险化学品生产、储存建设项目安全条件审查，烟花爆竹、危险化学品经营等审批许可工作，生产、经营易制毒化学品和生产经营单位事故应急预案备案等服务事项，限时办结。（六）安全生产基础科。负责非煤矿山（含地质勘探）、冶金、有色、建材、机械、轻工、纺织、烟草、商贸等工矿商贸行业安全生产基础工作；依法监督检查相关行业生产经营单位贯彻落实安全生产法律法规和标准情况；指导监督相关行业企业安全生产标准化、安全预防控制体系建设等工作；负责危险化学品、烟花爆竹、非煤矿山、金属冶炼单位的主要负责人、安全生产管理人员安全生产知识和管理能力考核。（七）安全生产委员会办公室综合科（安全生产综合监管科）。依法依规指导协调和监督有专门安全生产主管部门的行业和领域安全生产监督管理工作；组织协调全市性安全生产检查以及专项督查、专项整治等工作，组织实施安全生产巡查、考核工作。（八）规划和救灾保障科(科技和信息化科)。组织编制市应急体系建设、安全生产和综合防灾减灾规划并组织实施，研究提出相关经济政策建议，推动应急重点工程和避难设施建设；建立灾情报告制度，承担灾情核查、损失评估和救灾捐赠等灾害救助工作；拟订应急物资储备规划和需求计划，组织建立应急物资共用共享和协调机制，组织协调重要应急物资的储备、调拨和紧急配送；承担上级下拨和市级救灾款物的管理、分配和监督使用工作；会同有关方面组织协调紧急转移安置受灾群众、因灾毁损房屋恢复重建补助和受灾群众生活救助。承担应急管理、安全生产的科技和信息化建设工作；拟订有关科技规划、计划并组织实施；组织建立全市统一的应急管理信息系统，规划信息传输渠道，健全安全生产、自然灾害信息资源获取和共享机制。（九）政策法规科(执法监督科)。承担重要政策研究工作；承担规范性文件的合法性审查和行政复议、行政应诉等工作；负责全市安全生产执法综合性工作；组织指导执法计划编制、执法队伍建设和执法规范化建设工作。指导应急管理系统干部队伍建设工作；负责全市应急管理系统干部教育培训工作；指导全市各类应急救援队伍教育训练，负责培训基地建设和管理工作。（十）地震工作科。拟订防震减灾规范性文件和实施办法；编制并组织实施防震减灾发展规划和防震减灾工作年度计划；制定并组织实施地震监测台网建设规划；依法划定地震观测环境保护范围，保护地震监测设施和地震观测环境；负责对地震观测设施和观测环境可能造成危害的建设工程的监督检查；负责对进行地震安全性评价的建设工程备案和监督管理；管理以地震动参数区划图所表述的抗震设防要求和震害预测工作；保护典型地震遗址、遗迹；负责地震震情和灾情等信息的报送工作；审查涉及地震震情的宣传报道文稿及出版物；参与地震灾后恢复重建工作；承担市防震减灾工作联席会议办公室的日常工作。</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本部门下属单位包括：溧阳市应急管理综合行政执法大队。</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从决算单位构成看，纳入本</w:t>
      </w:r>
      <w:r>
        <w:rPr>
          <w:rFonts w:hint="eastAsia" w:ascii="仿宋" w:hAnsi="仿宋" w:eastAsia="仿宋" w:cs="仿宋"/>
          <w:lang w:val="en-US" w:eastAsia="zh-CN"/>
        </w:rPr>
        <w:t>部门</w:t>
      </w:r>
      <w:r>
        <w:rPr>
          <w:rFonts w:hint="eastAsia" w:ascii="仿宋" w:hAnsi="仿宋" w:eastAsia="仿宋" w:cs="仿宋"/>
          <w:lang w:eastAsia="zh-CN"/>
        </w:rPr>
        <w:t>202</w:t>
      </w:r>
      <w:r>
        <w:rPr>
          <w:rFonts w:hint="eastAsia" w:ascii="仿宋" w:hAnsi="仿宋" w:eastAsia="仿宋" w:cs="仿宋"/>
          <w:lang w:val="en-US" w:eastAsia="zh-CN"/>
        </w:rPr>
        <w:t>3</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汇总决算编制范围的预算单位共计</w:t>
      </w:r>
      <w:r>
        <w:rPr>
          <w:rFonts w:hint="eastAsia" w:ascii="仿宋" w:hAnsi="仿宋" w:eastAsia="仿宋" w:cs="仿宋"/>
          <w:lang w:val="en-US"/>
        </w:rPr>
        <w:t/>
      </w:r>
      <w:r>
        <w:rPr>
          <w:rFonts w:ascii="仿宋" w:hAnsi="仿宋" w:cs="仿宋" w:eastAsia="仿宋"/>
        </w:rPr>
        <w:t/>
      </w:r>
      <w:r>
        <w:rPr>
          <w:rFonts w:ascii="仿宋" w:hAnsi="仿宋" w:cs="仿宋" w:eastAsia="仿宋"/>
        </w:rPr>
        <w:t>2</w:t>
      </w:r>
      <w:r>
        <w:rPr>
          <w:rFonts w:ascii="仿宋" w:hAnsi="仿宋" w:cs="仿宋" w:eastAsia="仿宋"/>
        </w:rPr>
        <w:t/>
      </w:r>
      <w:r>
        <w:rPr>
          <w:rFonts w:ascii="仿宋" w:hAnsi="仿宋" w:cs="仿宋" w:eastAsia="仿宋"/>
        </w:rPr>
        <w:t/>
      </w:r>
      <w:r>
        <w:rPr>
          <w:rFonts w:hint="eastAsia" w:ascii="仿宋" w:hAnsi="仿宋" w:eastAsia="仿宋" w:cs="仿宋"/>
        </w:rPr>
        <w:t>家，具体包括：</w:t>
      </w:r>
      <w:r>
        <w:rPr>
          <w:rFonts w:hint="eastAsia" w:ascii="仿宋" w:hAnsi="仿宋" w:eastAsia="仿宋" w:cs="仿宋"/>
          <w:lang w:val="en-US"/>
        </w:rPr>
        <w:t/>
      </w:r>
      <w:r>
        <w:rPr>
          <w:rFonts w:ascii="仿宋" w:hAnsi="仿宋" w:cs="仿宋" w:eastAsia="仿宋"/>
        </w:rPr>
        <w:t/>
      </w:r>
      <w:r>
        <w:rPr>
          <w:rFonts w:ascii="仿宋" w:hAnsi="仿宋" w:cs="仿宋" w:eastAsia="仿宋"/>
        </w:rPr>
        <w:t>溧阳市应急管理局（本级）和溧阳市应急管理综合行政执法大队。</w:t>
      </w:r>
      <w:r>
        <w:rPr>
          <w:rFonts w:ascii="仿宋" w:hAnsi="仿宋" w:cs="仿宋" w:eastAsia="仿宋"/>
        </w:rPr>
        <w:t/>
      </w:r>
      <w:r>
        <w:rPr>
          <w:rFonts w:ascii="仿宋" w:hAnsi="仿宋" w:cs="仿宋" w:eastAsia="仿宋"/>
        </w:rPr>
        <w:t/>
      </w:r>
      <w:r>
        <w:rPr>
          <w:rFonts w:hint="eastAsia" w:ascii="仿宋" w:hAnsi="仿宋" w:eastAsia="仿宋" w:cs="仿宋"/>
          <w:lang w:val="en-US" w:eastAsia="zh-CN"/>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三、</w:t>
      </w:r>
      <w:r>
        <w:rPr>
          <w:rFonts w:hint="eastAsia" w:ascii="黑体" w:hAnsi="黑体" w:eastAsia="黑体" w:cs="黑体"/>
          <w:b w:val="0"/>
          <w:bCs w:val="0"/>
          <w:lang w:eastAsia="zh-CN"/>
        </w:rPr>
        <w:t>202</w:t>
      </w:r>
      <w:r>
        <w:rPr>
          <w:rFonts w:hint="eastAsia" w:ascii="黑体" w:hAnsi="黑体" w:eastAsia="黑体" w:cs="黑体"/>
          <w:b w:val="0"/>
          <w:bCs w:val="0"/>
          <w:lang w:val="en-US" w:eastAsia="zh-CN"/>
        </w:rPr>
        <w:t>3</w:t>
      </w:r>
      <w:r>
        <w:rPr>
          <w:rFonts w:hint="eastAsia" w:ascii="黑体" w:hAnsi="黑体" w:eastAsia="黑体" w:cs="黑体"/>
          <w:b w:val="0"/>
          <w:bCs w:val="0"/>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今年以来，溧阳市应急管理局在市委市政府的正确领导下，对照“疫情要防住、经济要稳住、发展要安全”的重大要求，切实扛起“勇挑大梁”的政治责任。以深化提升专项整治三年行动、开展安全生产大检查为主线，有效防范和压降生产安全事故的发生，全市安全形势平稳向好，现将全年工作总结如下：</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一、聚焦重点、靶向发力，安全生产谱写新篇章。全市连续9年未发生较大事故，其中化工行业连续11年未发生亡人事故，安全生产形势稳定向好，获评常州市推动高质量发展先进集体。</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二、全面统筹、精准推进，重点工作夺取新业绩。紧抓各项重点工作，通篇布局，重点突破，在提升整体工作水平上下功夫，构建“大安全、大应急”格局，全面提升本质安全水平。</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三、提质提效、实战实用，应急救援实现新突破。在抓好安全生产工作的同时，坚持抓好应急救援体系建设，机制、队伍、平台等全方位推进。</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四、齐抓共管、锐意进取，防灾减灾开创新局面。在防灾减灾救灾工作中，积极践行“人民至上、生命至上”理念，坚持抓重点、促创新、补短板、打基础，多举措推进防灾减灾救灾工作高质量发展。</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五、党建引领、担当作为，“溧急应”丰富新内涵。应急管理局党员干部和青年干部勇挑重担、担当作为，擦亮“溧急应”应急服务品牌，勇做践行应急为民的奋进者、开拓者、奉献者。</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283"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outlineLvl w:val="0"/>
        <w:rPr>
          <w:rFonts w:hint="eastAsia" w:ascii="宋体" w:hAnsi="宋体" w:eastAsia="宋体" w:cs="宋体"/>
          <w:b/>
          <w:bCs/>
          <w:sz w:val="36"/>
          <w:szCs w:val="36"/>
          <w:lang w:val="en-US" w:eastAsia="zh-CN"/>
        </w:rPr>
      </w:pPr>
      <w:r>
        <w:rPr>
          <w:rFonts w:hint="eastAsia" w:ascii="宋体" w:hAnsi="宋体" w:eastAsia="宋体" w:cs="宋体"/>
          <w:b/>
          <w:bCs/>
          <w:sz w:val="36"/>
          <w:szCs w:val="36"/>
        </w:rPr>
        <w:t>第二部分</w:t>
      </w:r>
    </w:p>
    <w:p>
      <w:pPr>
        <w:pStyle w:val="21"/>
        <w:widowControl w:val="0"/>
        <w:tabs>
          <w:tab w:val="left" w:pos="1609"/>
        </w:tabs>
        <w:suppressAutoHyphens/>
        <w:bidi w:val="0"/>
        <w:spacing w:before="12" w:after="0"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u w:val="none"/>
        </w:rPr>
        <w:t>溧阳市应急管理局</w:t>
      </w:r>
    </w:p>
    <w:p>
      <w:pPr>
        <w:pStyle w:val="21"/>
        <w:widowControl w:val="0"/>
        <w:tabs>
          <w:tab w:val="left" w:pos="1609"/>
        </w:tabs>
        <w:suppressAutoHyphens/>
        <w:bidi w:val="0"/>
        <w:spacing w:before="12" w:after="0"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w:t>
      </w:r>
      <w:r>
        <w:rPr>
          <w:rFonts w:hint="eastAsia" w:ascii="宋体" w:hAnsi="宋体" w:eastAsia="宋体" w:cs="宋体"/>
          <w:b/>
          <w:bCs/>
          <w:sz w:val="36"/>
          <w:szCs w:val="36"/>
          <w:lang w:val="en-US" w:eastAsia="zh-CN"/>
        </w:rPr>
        <w:t>3</w:t>
      </w:r>
      <w:r>
        <w:rPr>
          <w:rFonts w:hint="eastAsia" w:ascii="宋体" w:hAnsi="宋体" w:eastAsia="宋体" w:cs="宋体"/>
          <w:b/>
          <w:bCs/>
          <w:sz w:val="36"/>
          <w:szCs w:val="36"/>
        </w:rPr>
        <w:t>年度</w:t>
      </w:r>
      <w:r>
        <w:rPr>
          <w:rFonts w:hint="eastAsia" w:ascii="宋体" w:hAnsi="宋体" w:eastAsia="宋体" w:cs="宋体"/>
          <w:b/>
          <w:bCs/>
          <w:sz w:val="36"/>
          <w:szCs w:val="36"/>
          <w:lang w:val="en-US" w:eastAsia="zh-CN"/>
        </w:rPr>
        <w:t>部门</w:t>
      </w:r>
      <w:r>
        <w:rPr>
          <w:rFonts w:ascii="宋体" w:hAnsi="宋体" w:cs="宋体" w:eastAsia="宋体"/>
          <w:b w:val="true"/>
          <w:sz w:val="36"/>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tblPrEx>
          <w:tblCellMar>
            <w:top w:w="0" w:type="dxa"/>
            <w:left w:w="108" w:type="dxa"/>
            <w:bottom w:w="0" w:type="dxa"/>
            <w:right w:w="108" w:type="dxa"/>
          </w:tblCellMar>
        </w:tblPrEx>
        <w:trPr>
          <w:trHeight w:val="544" w:hRule="atLeast"/>
          <w:jc w:val="center"/>
        </w:trPr>
        <w:tc>
          <w:tcPr>
            <w:tcW w:w="10447" w:type="dxa"/>
            <w:gridSpan w:val="5"/>
          </w:tcPr>
          <w:p>
            <w:pPr>
              <w:pageBreakBefore/>
              <w:widowControl w:val="0"/>
              <w:ind w:left="0" w:right="0" w:firstLine="0"/>
              <w:jc w:val="center"/>
              <w:textAlignment w:val="auto"/>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tblPrEx>
          <w:tblCellMar>
            <w:top w:w="0" w:type="dxa"/>
            <w:left w:w="108" w:type="dxa"/>
            <w:bottom w:w="0" w:type="dxa"/>
            <w:right w:w="108" w:type="dxa"/>
          </w:tblCellMar>
        </w:tblPrEx>
        <w:trPr>
          <w:trHeight w:val="348" w:hRule="atLeast"/>
          <w:jc w:val="center"/>
        </w:trPr>
        <w:tc>
          <w:tcPr>
            <w:tcW w:w="3468" w:type="dxa"/>
          </w:tcPr>
          <w:p>
            <w:pPr>
              <w:widowControl w:val="0"/>
              <w:ind w:left="0" w:right="0" w:firstLine="0"/>
              <w:jc w:val="left"/>
              <w:textAlignment w:val="auto"/>
              <w:rPr>
                <w:rFonts w:hint="eastAsia" w:ascii="仿宋" w:hAnsi="仿宋" w:eastAsia="仿宋" w:cs="仿宋"/>
                <w:color w:val="000000"/>
                <w:sz w:val="20"/>
              </w:rPr>
            </w:pPr>
          </w:p>
        </w:tc>
        <w:tc>
          <w:tcPr>
            <w:tcW w:w="1777" w:type="dxa"/>
          </w:tcPr>
          <w:p>
            <w:pPr>
              <w:widowControl w:val="0"/>
              <w:ind w:left="0" w:right="0" w:firstLine="0"/>
              <w:jc w:val="left"/>
              <w:textAlignment w:val="auto"/>
              <w:rPr>
                <w:rFonts w:hint="eastAsia" w:ascii="仿宋" w:hAnsi="仿宋" w:eastAsia="仿宋" w:cs="仿宋"/>
                <w:color w:val="000000"/>
                <w:sz w:val="20"/>
              </w:rPr>
            </w:pPr>
          </w:p>
        </w:tc>
        <w:tc>
          <w:tcPr>
            <w:tcW w:w="5202" w:type="dxa"/>
            <w:gridSpan w:val="3"/>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color w:val="000000"/>
                <w:sz w:val="22"/>
                <w:szCs w:val="22"/>
                <w:lang w:eastAsia="ar-SA"/>
              </w:rPr>
              <w:t>溧阳市应急管理局</w:t>
            </w:r>
          </w:p>
        </w:tc>
        <w:tc>
          <w:tcPr>
            <w:tcW w:w="3167"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rPr>
              <w:t>金额单位：万元</w:t>
            </w:r>
          </w:p>
        </w:tc>
      </w:tr>
      <w:tr>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支出</w:t>
            </w:r>
          </w:p>
        </w:tc>
      </w:tr>
      <w:tr>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ascii="仿宋" w:hAnsi="仿宋" w:cs="仿宋" w:eastAsia="仿宋"/>
                <w:color w:val="000000"/>
                <w:sz w:val="22"/>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3,030.96</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134.12</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134.12</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351.27</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2,679.69</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3,165.08</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3,165.08</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r>
      <w:tr>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777"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3376" w:type="dxa"/>
            <w:gridSpan w:val="2"/>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826"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r>
      <w:tr>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3,165.08</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3,165.08</w:t>
            </w:r>
          </w:p>
        </w:tc>
      </w:tr>
    </w:tbl>
    <w:p>
      <w:pPr>
        <w:widowControl w:val="0"/>
        <w:suppressAutoHyphens/>
        <w:bidi w:val="0"/>
        <w:spacing w:before="66" w:after="0"/>
        <w:ind w:left="0" w:leftChars="0" w:right="0" w:rightChars="0" w:firstLine="0" w:firstLineChars="0"/>
        <w:jc w:val="both"/>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注：本表反映本年度的总收支和年末结转结余情况。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color w:val="000000"/>
          <w:sz w:val="22"/>
          <w:szCs w:val="22"/>
          <w:lang w:val="en-US" w:eastAsia="zh-CN"/>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right="0"/>
        <w:jc w:val="both"/>
        <w:rPr>
          <w:rFonts w:hint="eastAsia" w:ascii="仿宋" w:hAnsi="仿宋" w:eastAsia="仿宋" w:cs="仿宋"/>
          <w:b w:val="0"/>
          <w:bCs w:val="0"/>
          <w:color w:val="000000"/>
          <w:sz w:val="22"/>
          <w:szCs w:val="22"/>
        </w:rPr>
        <w:sectPr>
          <w:footerReference r:id="rId8"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tblPrEx>
          <w:tblCellMar>
            <w:top w:w="0" w:type="dxa"/>
            <w:left w:w="108" w:type="dxa"/>
            <w:bottom w:w="0" w:type="dxa"/>
            <w:right w:w="108" w:type="dxa"/>
          </w:tblCellMar>
        </w:tblPrEx>
        <w:trPr>
          <w:trHeight w:val="403" w:hRule="atLeast"/>
          <w:jc w:val="center"/>
        </w:trPr>
        <w:tc>
          <w:tcPr>
            <w:tcW w:w="16660" w:type="dxa"/>
            <w:gridSpan w:val="10"/>
            <w:vAlign w:val="center"/>
          </w:tcPr>
          <w:p>
            <w:pPr>
              <w:pStyle w:val="5"/>
              <w:widowControl w:val="0"/>
              <w:rPr>
                <w:rFonts w:hint="eastAsia" w:ascii="仿宋" w:hAnsi="仿宋" w:eastAsia="仿宋" w:cs="仿宋"/>
                <w:b/>
                <w:bCs/>
                <w:sz w:val="44"/>
                <w:szCs w:val="44"/>
                <w:lang w:val="en-US" w:eastAsia="zh-CN"/>
              </w:rPr>
            </w:pPr>
            <w:r>
              <w:rPr>
                <w:rFonts w:hint="eastAsia" w:ascii="宋体" w:hAnsi="宋体" w:eastAsia="宋体" w:cs="宋体"/>
                <w:b/>
                <w:bCs/>
                <w:color w:val="000000"/>
                <w:kern w:val="0"/>
                <w:sz w:val="36"/>
                <w:szCs w:val="36"/>
                <w:lang w:val="zh-CN" w:eastAsia="ar-SA" w:bidi="zh-CN"/>
              </w:rPr>
              <w:t>收入决算表</w:t>
            </w:r>
          </w:p>
        </w:tc>
      </w:tr>
      <w:tr>
        <w:tblPrEx>
          <w:tblCellMar>
            <w:top w:w="0" w:type="dxa"/>
            <w:left w:w="108" w:type="dxa"/>
            <w:bottom w:w="0" w:type="dxa"/>
            <w:right w:w="108" w:type="dxa"/>
          </w:tblCellMar>
        </w:tblPrEx>
        <w:trPr>
          <w:trHeight w:val="247" w:hRule="atLeast"/>
          <w:jc w:val="center"/>
        </w:trPr>
        <w:tc>
          <w:tcPr>
            <w:tcW w:w="4357" w:type="dxa"/>
            <w:gridSpan w:val="2"/>
            <w:vAlign w:val="center"/>
          </w:tcPr>
          <w:p>
            <w:pPr>
              <w:pStyle w:val="22"/>
              <w:widowControl w:val="0"/>
              <w:jc w:val="center"/>
              <w:rPr>
                <w:rFonts w:hint="eastAsia" w:ascii="仿宋" w:hAnsi="仿宋" w:eastAsia="仿宋" w:cs="仿宋"/>
              </w:rPr>
            </w:pPr>
          </w:p>
        </w:tc>
        <w:tc>
          <w:tcPr>
            <w:tcW w:w="1716" w:type="dxa"/>
            <w:vAlign w:val="center"/>
          </w:tcPr>
          <w:p>
            <w:pPr>
              <w:pStyle w:val="22"/>
              <w:widowControl w:val="0"/>
              <w:jc w:val="center"/>
              <w:rPr>
                <w:rFonts w:hint="eastAsia" w:ascii="仿宋" w:hAnsi="仿宋" w:eastAsia="仿宋" w:cs="仿宋"/>
              </w:rPr>
            </w:pPr>
          </w:p>
        </w:tc>
        <w:tc>
          <w:tcPr>
            <w:tcW w:w="1728" w:type="dxa"/>
            <w:vAlign w:val="center"/>
          </w:tcPr>
          <w:p>
            <w:pPr>
              <w:pStyle w:val="22"/>
              <w:widowControl w:val="0"/>
              <w:jc w:val="center"/>
              <w:rPr>
                <w:rFonts w:hint="eastAsia" w:ascii="仿宋" w:hAnsi="仿宋" w:eastAsia="仿宋" w:cs="仿宋"/>
              </w:rPr>
            </w:pPr>
          </w:p>
        </w:tc>
        <w:tc>
          <w:tcPr>
            <w:tcW w:w="1686" w:type="dxa"/>
            <w:vAlign w:val="center"/>
          </w:tcPr>
          <w:p>
            <w:pPr>
              <w:pStyle w:val="22"/>
              <w:widowControl w:val="0"/>
              <w:jc w:val="center"/>
              <w:rPr>
                <w:rFonts w:hint="eastAsia" w:ascii="仿宋" w:hAnsi="仿宋" w:eastAsia="仿宋" w:cs="仿宋"/>
              </w:rPr>
            </w:pPr>
          </w:p>
        </w:tc>
        <w:tc>
          <w:tcPr>
            <w:tcW w:w="3207" w:type="dxa"/>
            <w:gridSpan w:val="2"/>
            <w:vAlign w:val="center"/>
          </w:tcPr>
          <w:p>
            <w:pPr>
              <w:pStyle w:val="22"/>
              <w:widowControl w:val="0"/>
              <w:jc w:val="center"/>
              <w:rPr>
                <w:rFonts w:hint="eastAsia" w:ascii="仿宋" w:hAnsi="仿宋" w:eastAsia="仿宋" w:cs="仿宋"/>
              </w:rPr>
            </w:pPr>
          </w:p>
        </w:tc>
        <w:tc>
          <w:tcPr>
            <w:tcW w:w="1263" w:type="dxa"/>
            <w:vAlign w:val="center"/>
          </w:tcPr>
          <w:p>
            <w:pPr>
              <w:pStyle w:val="22"/>
              <w:widowControl w:val="0"/>
              <w:jc w:val="center"/>
              <w:rPr>
                <w:rFonts w:hint="eastAsia" w:ascii="仿宋" w:hAnsi="仿宋" w:eastAsia="仿宋" w:cs="仿宋"/>
              </w:rPr>
            </w:pPr>
          </w:p>
        </w:tc>
        <w:tc>
          <w:tcPr>
            <w:tcW w:w="2703"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公开02表</w:t>
            </w:r>
          </w:p>
        </w:tc>
      </w:tr>
      <w:tr>
        <w:tblPrEx>
          <w:tblCellMar>
            <w:top w:w="0" w:type="dxa"/>
            <w:left w:w="108" w:type="dxa"/>
            <w:bottom w:w="0" w:type="dxa"/>
            <w:right w:w="108" w:type="dxa"/>
          </w:tblCellMar>
        </w:tblPrEx>
        <w:trPr>
          <w:trHeight w:val="247" w:hRule="atLeast"/>
          <w:jc w:val="center"/>
        </w:trPr>
        <w:tc>
          <w:tcPr>
            <w:tcW w:w="13957" w:type="dxa"/>
            <w:gridSpan w:val="8"/>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溧阳市应急管理局</w:t>
            </w:r>
          </w:p>
        </w:tc>
        <w:tc>
          <w:tcPr>
            <w:tcW w:w="2703"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其他收入</w:t>
            </w:r>
          </w:p>
        </w:tc>
      </w:tr>
      <w:tr>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728"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68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75"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716"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3,165.08</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3,165.08</w:t>
            </w:r>
          </w:p>
        </w:tc>
        <w:tc>
          <w:tcPr>
            <w:tcW w:w="1686"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城乡社区支出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134.12</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134.12</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21208</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国有土地使用权出让收入安排的支出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134.12</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134.12</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2120899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其他国有土地使用权出让收入安排的支出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134.12</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134.12</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351.27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351.27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351.27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351.27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212.70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212.70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138.57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138.57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224</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灾害防治及应急管理支出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2,679.69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2,679.69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22401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应急管理事务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2,578.69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2,578.69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2240101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行政运行</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1,458.04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1,458.04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2240102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一般行政管理事务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61.50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61.50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2240104</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灾害风险防治</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174.50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174.50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2240106</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安全监管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690.66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690.66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2240108</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应急救援</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65.00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65.00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2240109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应急管理</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115.99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115.99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2240199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其他应急管理支出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22406</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自然灾害防治</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2240699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其他自然灾害防治支出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22407</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自然灾害救灾及恢复重建支出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100.00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100.00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2240799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其他自然灾害救灾及恢复重建支出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100.00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100.00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bl>
    <w:p>
      <w:pPr>
        <w:widowControl w:val="0"/>
        <w:suppressAutoHyphens/>
        <w:bidi w:val="0"/>
        <w:spacing w:before="66" w:after="0"/>
        <w:ind w:left="0" w:leftChars="0" w:right="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color w:val="000000"/>
          <w:sz w:val="22"/>
          <w:szCs w:val="22"/>
        </w:rPr>
        <w:t>注：</w:t>
      </w:r>
      <w:r>
        <w:rPr>
          <w:rFonts w:hint="eastAsia" w:ascii="仿宋" w:hAnsi="仿宋" w:eastAsia="仿宋" w:cs="仿宋"/>
          <w:b w:val="0"/>
          <w:bCs w:val="0"/>
          <w:sz w:val="22"/>
          <w:szCs w:val="22"/>
        </w:rPr>
        <w:t>本表反映本年度取得的各项收入情况。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left="57" w:right="0" w:firstLine="220" w:firstLineChars="100"/>
        <w:jc w:val="both"/>
        <w:rPr>
          <w:rFonts w:hint="eastAsia" w:ascii="仿宋" w:hAnsi="仿宋" w:eastAsia="仿宋" w:cs="仿宋"/>
          <w:b w:val="0"/>
          <w:bCs w:val="0"/>
          <w:sz w:val="22"/>
          <w:szCs w:val="22"/>
        </w:rPr>
        <w:sectPr>
          <w:footerReference r:id="rId9" w:type="default"/>
          <w:pgSz w:w="16838" w:h="11906" w:orient="landscape"/>
          <w:pgMar w:top="720" w:right="113" w:bottom="720" w:left="11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tblPrEx>
          <w:tblCellMar>
            <w:top w:w="55" w:type="dxa"/>
            <w:left w:w="55" w:type="dxa"/>
            <w:bottom w:w="55" w:type="dxa"/>
            <w:right w:w="55" w:type="dxa"/>
          </w:tblCellMar>
        </w:tblPrEx>
        <w:trPr>
          <w:trHeight w:val="532" w:hRule="atLeast"/>
        </w:trPr>
        <w:tc>
          <w:tcPr>
            <w:tcW w:w="15689" w:type="dxa"/>
            <w:gridSpan w:val="8"/>
            <w:vAlign w:val="center"/>
          </w:tcPr>
          <w:p>
            <w:pPr>
              <w:pStyle w:val="5"/>
              <w:widowControl w:val="0"/>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支出决算表</w:t>
            </w:r>
          </w:p>
        </w:tc>
      </w:tr>
      <w:tr>
        <w:tblPrEx>
          <w:tblCellMar>
            <w:top w:w="55" w:type="dxa"/>
            <w:left w:w="55" w:type="dxa"/>
            <w:bottom w:w="55" w:type="dxa"/>
            <w:right w:w="55" w:type="dxa"/>
          </w:tblCellMar>
        </w:tblPrEx>
        <w:trPr>
          <w:trHeight w:val="227" w:hRule="atLeast"/>
        </w:trPr>
        <w:tc>
          <w:tcPr>
            <w:tcW w:w="5115" w:type="dxa"/>
            <w:gridSpan w:val="2"/>
            <w:vAlign w:val="center"/>
          </w:tcPr>
          <w:p>
            <w:pPr>
              <w:pStyle w:val="22"/>
              <w:widowControl w:val="0"/>
              <w:jc w:val="center"/>
              <w:rPr>
                <w:rFonts w:hint="eastAsia" w:ascii="仿宋" w:hAnsi="仿宋" w:eastAsia="仿宋" w:cs="仿宋"/>
              </w:rPr>
            </w:pPr>
          </w:p>
        </w:tc>
        <w:tc>
          <w:tcPr>
            <w:tcW w:w="2164" w:type="dxa"/>
            <w:vAlign w:val="center"/>
          </w:tcPr>
          <w:p>
            <w:pPr>
              <w:pStyle w:val="22"/>
              <w:widowControl w:val="0"/>
              <w:spacing w:before="0" w:after="0"/>
              <w:ind w:firstLine="0"/>
              <w:jc w:val="center"/>
              <w:rPr>
                <w:rFonts w:hint="eastAsia" w:ascii="仿宋" w:hAnsi="仿宋" w:eastAsia="仿宋" w:cs="仿宋"/>
                <w:sz w:val="20"/>
              </w:rPr>
            </w:pPr>
          </w:p>
        </w:tc>
        <w:tc>
          <w:tcPr>
            <w:tcW w:w="1897" w:type="dxa"/>
            <w:vAlign w:val="center"/>
          </w:tcPr>
          <w:p>
            <w:pPr>
              <w:pStyle w:val="22"/>
              <w:widowControl w:val="0"/>
              <w:spacing w:before="0" w:after="0"/>
              <w:ind w:firstLine="0"/>
              <w:jc w:val="center"/>
              <w:rPr>
                <w:rFonts w:hint="eastAsia" w:ascii="仿宋" w:hAnsi="仿宋" w:eastAsia="仿宋" w:cs="仿宋"/>
                <w:sz w:val="20"/>
              </w:rPr>
            </w:pPr>
          </w:p>
        </w:tc>
        <w:tc>
          <w:tcPr>
            <w:tcW w:w="1739" w:type="dxa"/>
            <w:vAlign w:val="center"/>
          </w:tcPr>
          <w:p>
            <w:pPr>
              <w:pStyle w:val="22"/>
              <w:widowControl w:val="0"/>
              <w:spacing w:before="0" w:after="0"/>
              <w:ind w:firstLine="0"/>
              <w:jc w:val="center"/>
              <w:rPr>
                <w:rFonts w:hint="eastAsia" w:ascii="仿宋" w:hAnsi="仿宋" w:eastAsia="仿宋" w:cs="仿宋"/>
                <w:sz w:val="20"/>
              </w:rPr>
            </w:pPr>
          </w:p>
        </w:tc>
        <w:tc>
          <w:tcPr>
            <w:tcW w:w="1715" w:type="dxa"/>
            <w:vAlign w:val="center"/>
          </w:tcPr>
          <w:p>
            <w:pPr>
              <w:pStyle w:val="22"/>
              <w:widowControl w:val="0"/>
              <w:spacing w:before="0" w:after="0"/>
              <w:ind w:firstLine="0"/>
              <w:jc w:val="center"/>
              <w:rPr>
                <w:rFonts w:hint="eastAsia" w:ascii="仿宋" w:hAnsi="仿宋" w:eastAsia="仿宋" w:cs="仿宋"/>
                <w:sz w:val="20"/>
              </w:rPr>
            </w:pPr>
          </w:p>
        </w:tc>
        <w:tc>
          <w:tcPr>
            <w:tcW w:w="3059"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90" w:hRule="atLeast"/>
        </w:trPr>
        <w:tc>
          <w:tcPr>
            <w:tcW w:w="12630" w:type="dxa"/>
            <w:gridSpan w:val="6"/>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溧阳市应急管理局</w:t>
            </w:r>
          </w:p>
        </w:tc>
        <w:tc>
          <w:tcPr>
            <w:tcW w:w="3059"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kern w:val="0"/>
                <w:sz w:val="22"/>
                <w:szCs w:val="22"/>
              </w:rPr>
              <w:t>项目</w:t>
            </w:r>
          </w:p>
        </w:tc>
        <w:tc>
          <w:tcPr>
            <w:tcW w:w="2164"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本年支出合计</w:t>
            </w:r>
          </w:p>
        </w:tc>
        <w:tc>
          <w:tcPr>
            <w:tcW w:w="1897"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39"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715"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3"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kern w:val="0"/>
                <w:sz w:val="22"/>
                <w:szCs w:val="22"/>
              </w:rPr>
            </w:pPr>
            <w:r>
              <w:rPr>
                <w:rFonts w:hint="eastAsia" w:ascii="仿宋" w:hAnsi="仿宋" w:eastAsia="仿宋" w:cs="仿宋"/>
                <w:kern w:val="0"/>
                <w:sz w:val="22"/>
                <w:szCs w:val="22"/>
              </w:rPr>
              <w:t>功能分类</w:t>
            </w:r>
          </w:p>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927"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科目名称</w:t>
            </w:r>
          </w:p>
        </w:tc>
        <w:tc>
          <w:tcPr>
            <w:tcW w:w="2164"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897"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39"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15"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633"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26" w:type="dxa"/>
            <w:vMerge w:val="continue"/>
            <w:tcBorders>
              <w:left w:val="single" w:color="000000" w:sz="4" w:space="0"/>
              <w:bottom w:val="single" w:color="000000" w:sz="4" w:space="0"/>
              <w:right w:val="single" w:color="000000" w:sz="4" w:space="0"/>
            </w:tcBorders>
          </w:tcPr>
          <w:p>
            <w:pPr>
              <w:widowControl w:val="0"/>
              <w:spacing w:before="0" w:after="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216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3,165.08</w:t>
            </w:r>
          </w:p>
        </w:tc>
        <w:tc>
          <w:tcPr>
            <w:tcW w:w="189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1,809.32</w:t>
            </w:r>
          </w:p>
        </w:tc>
        <w:tc>
          <w:tcPr>
            <w:tcW w:w="1739"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1,355.76</w:t>
            </w:r>
          </w:p>
        </w:tc>
        <w:tc>
          <w:tcPr>
            <w:tcW w:w="1715"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633"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426"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城乡社区支出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134.12</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134.12</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21208</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国有土地使用权出让收入安排的支出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134.12</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134.12</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2120899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其他国有土地使用权出让收入安排的支出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134.12</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134.12</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住房保障支出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351.27</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351.27</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351.27</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351.27</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212.70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212.70</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138.57</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138.57</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224</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灾害防治及应急管理支出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2,679.69</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1,458.04</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1,221.64</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22401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应急管理事务</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2,578.69</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1,458.04</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1,120.64</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2240101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行政运行</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1,458.04</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1,458.04</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2240102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一般行政管理事务</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61.50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61.50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2240104</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灾害风险防治</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174.50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174.50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2240106</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安全监管</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690.66</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690.66</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2240108</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应急救援</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65.00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65.00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2240109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应急管理</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115.99</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115.99</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2240199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其他应急管理支出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13.00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13.00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22406</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自然灾害防治</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2240699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其他自然灾害防治支出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22407</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自然灾害救灾及恢复重建支出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100.00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100.00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2240799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其他自然灾害救灾及恢复重建支出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100.00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100.00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bl>
    <w:p>
      <w:pPr>
        <w:widowControl w:val="0"/>
        <w:suppressAutoHyphens/>
        <w:bidi w:val="0"/>
        <w:spacing w:before="59" w:after="0"/>
        <w:ind w:left="0" w:leftChars="0" w:right="0" w:firstLine="0" w:firstLineChars="0"/>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注：本表反映本年度各项支出情况。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59" w:after="0"/>
        <w:ind w:left="57" w:right="0" w:firstLine="0"/>
        <w:jc w:val="left"/>
        <w:rPr>
          <w:rFonts w:hint="eastAsia" w:ascii="仿宋" w:hAnsi="仿宋" w:eastAsia="仿宋" w:cs="仿宋"/>
          <w:b w:val="0"/>
          <w:bCs w:val="0"/>
          <w:sz w:val="22"/>
          <w:szCs w:val="22"/>
        </w:rPr>
        <w:sectPr>
          <w:footerReference r:id="rId10" w:type="default"/>
          <w:pgSz w:w="16838" w:h="11906" w:orient="landscape"/>
          <w:pgMar w:top="720" w:right="567" w:bottom="720" w:left="56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tblPrEx>
          <w:tblCellMar>
            <w:top w:w="55" w:type="dxa"/>
            <w:left w:w="55" w:type="dxa"/>
            <w:bottom w:w="55" w:type="dxa"/>
            <w:right w:w="55" w:type="dxa"/>
          </w:tblCellMar>
        </w:tblPrEx>
        <w:trPr>
          <w:trHeight w:val="319" w:hRule="atLeast"/>
        </w:trPr>
        <w:tc>
          <w:tcPr>
            <w:tcW w:w="15372" w:type="dxa"/>
            <w:gridSpan w:val="10"/>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财政拨款收入支出决算总表</w:t>
            </w:r>
          </w:p>
        </w:tc>
      </w:tr>
      <w:tr>
        <w:tblPrEx>
          <w:tblCellMar>
            <w:top w:w="55" w:type="dxa"/>
            <w:left w:w="55" w:type="dxa"/>
            <w:bottom w:w="55" w:type="dxa"/>
            <w:right w:w="55" w:type="dxa"/>
          </w:tblCellMar>
        </w:tblPrEx>
        <w:trPr>
          <w:trHeight w:val="319" w:hRule="atLeast"/>
        </w:trPr>
        <w:tc>
          <w:tcPr>
            <w:tcW w:w="5562" w:type="dxa"/>
            <w:gridSpan w:val="2"/>
          </w:tcPr>
          <w:p>
            <w:pPr>
              <w:pStyle w:val="22"/>
              <w:widowControl w:val="0"/>
              <w:rPr>
                <w:rFonts w:hint="eastAsia" w:ascii="仿宋" w:hAnsi="仿宋" w:eastAsia="仿宋" w:cs="仿宋"/>
                <w:sz w:val="20"/>
              </w:rPr>
            </w:pPr>
          </w:p>
        </w:tc>
        <w:tc>
          <w:tcPr>
            <w:tcW w:w="847" w:type="dxa"/>
          </w:tcPr>
          <w:p>
            <w:pPr>
              <w:pStyle w:val="22"/>
              <w:widowControl w:val="0"/>
              <w:rPr>
                <w:rFonts w:hint="eastAsia" w:ascii="仿宋" w:hAnsi="仿宋" w:eastAsia="仿宋" w:cs="仿宋"/>
                <w:sz w:val="20"/>
              </w:rPr>
            </w:pPr>
          </w:p>
        </w:tc>
        <w:tc>
          <w:tcPr>
            <w:tcW w:w="1913" w:type="dxa"/>
          </w:tcPr>
          <w:p>
            <w:pPr>
              <w:pStyle w:val="22"/>
              <w:widowControl w:val="0"/>
              <w:rPr>
                <w:rFonts w:hint="eastAsia" w:ascii="仿宋" w:hAnsi="仿宋" w:eastAsia="仿宋" w:cs="仿宋"/>
                <w:sz w:val="20"/>
              </w:rPr>
            </w:pPr>
          </w:p>
        </w:tc>
        <w:tc>
          <w:tcPr>
            <w:tcW w:w="2635" w:type="dxa"/>
            <w:gridSpan w:val="2"/>
          </w:tcPr>
          <w:p>
            <w:pPr>
              <w:pStyle w:val="22"/>
              <w:widowControl w:val="0"/>
              <w:rPr>
                <w:rFonts w:hint="eastAsia" w:ascii="仿宋" w:hAnsi="仿宋" w:eastAsia="仿宋" w:cs="仿宋"/>
                <w:sz w:val="20"/>
              </w:rPr>
            </w:pPr>
          </w:p>
        </w:tc>
        <w:tc>
          <w:tcPr>
            <w:tcW w:w="1194" w:type="dxa"/>
          </w:tcPr>
          <w:p>
            <w:pPr>
              <w:pStyle w:val="22"/>
              <w:widowControl w:val="0"/>
              <w:rPr>
                <w:rFonts w:hint="eastAsia" w:ascii="仿宋" w:hAnsi="仿宋" w:eastAsia="仿宋" w:cs="仿宋"/>
                <w:sz w:val="20"/>
              </w:rPr>
            </w:pP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2151" w:type="dxa"/>
            <w:gridSpan w:val="7"/>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sz w:val="22"/>
                <w:szCs w:val="22"/>
              </w:rPr>
              <w:t>溧阳市应急管理局</w:t>
            </w: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收</w:t>
            </w:r>
            <w:r>
              <w:rPr>
                <w:rFonts w:hint="eastAsia" w:ascii="仿宋" w:hAnsi="仿宋" w:eastAsia="仿宋" w:cs="仿宋"/>
                <w:sz w:val="22"/>
                <w:szCs w:val="22"/>
              </w:rPr>
              <w:tab/>
            </w:r>
            <w:r>
              <w:rPr>
                <w:rFonts w:hint="eastAsia" w:ascii="仿宋" w:hAnsi="仿宋" w:eastAsia="仿宋" w:cs="仿宋"/>
                <w:sz w:val="22"/>
                <w:szCs w:val="22"/>
              </w:rPr>
              <w:t>入</w:t>
            </w:r>
          </w:p>
        </w:tc>
        <w:tc>
          <w:tcPr>
            <w:tcW w:w="9810" w:type="dxa"/>
            <w:gridSpan w:val="8"/>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支</w:t>
            </w:r>
            <w:r>
              <w:rPr>
                <w:rFonts w:hint="eastAsia" w:ascii="仿宋" w:hAnsi="仿宋" w:eastAsia="仿宋" w:cs="仿宋"/>
                <w:sz w:val="22"/>
                <w:szCs w:val="22"/>
              </w:rPr>
              <w:tab/>
            </w:r>
            <w:r>
              <w:rPr>
                <w:rFonts w:hint="eastAsia" w:ascii="仿宋" w:hAnsi="仿宋" w:eastAsia="仿宋" w:cs="仿宋"/>
                <w:sz w:val="22"/>
                <w:szCs w:val="22"/>
              </w:rPr>
              <w:t>出</w:t>
            </w:r>
          </w:p>
        </w:tc>
      </w:tr>
      <w:tr>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1837"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c>
          <w:tcPr>
            <w:tcW w:w="3667" w:type="dxa"/>
            <w:gridSpan w:val="3"/>
            <w:vMerge w:val="restart"/>
            <w:tcBorders>
              <w:left w:val="single" w:color="000000" w:sz="4" w:space="0"/>
              <w:bottom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按功能分类</w:t>
            </w:r>
          </w:p>
        </w:tc>
        <w:tc>
          <w:tcPr>
            <w:tcW w:w="6143" w:type="dxa"/>
            <w:gridSpan w:val="5"/>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r>
      <w:tr>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837"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3667" w:type="dxa"/>
            <w:gridSpan w:val="3"/>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小计</w:t>
            </w:r>
          </w:p>
        </w:tc>
        <w:tc>
          <w:tcPr>
            <w:tcW w:w="14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一般公共预算财政拨款</w:t>
            </w:r>
          </w:p>
        </w:tc>
        <w:tc>
          <w:tcPr>
            <w:tcW w:w="15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政府性基金预算财政拨款</w:t>
            </w:r>
          </w:p>
        </w:tc>
        <w:tc>
          <w:tcPr>
            <w:tcW w:w="1500"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国有资本经营预算财政拨款</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3,030.96</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134.12</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134.12</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134.12</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351.27</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351.27</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2,679.69</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2,679.69</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b/>
                <w:bCs/>
                <w:sz w:val="22"/>
                <w:szCs w:val="22"/>
              </w:rPr>
              <w:t>本年收入合计</w:t>
            </w:r>
          </w:p>
        </w:tc>
        <w:tc>
          <w:tcPr>
            <w:tcW w:w="1837"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3,165.08</w:t>
            </w:r>
          </w:p>
        </w:tc>
        <w:tc>
          <w:tcPr>
            <w:tcW w:w="3667" w:type="dxa"/>
            <w:gridSpan w:val="3"/>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本年支出合计</w:t>
            </w:r>
          </w:p>
        </w:tc>
        <w:tc>
          <w:tcPr>
            <w:tcW w:w="1728"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3,165.08</w:t>
            </w:r>
          </w:p>
        </w:tc>
        <w:tc>
          <w:tcPr>
            <w:tcW w:w="1415" w:type="dxa"/>
            <w:gridSpan w:val="2"/>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3,030.96</w:t>
            </w:r>
          </w:p>
        </w:tc>
        <w:tc>
          <w:tcPr>
            <w:tcW w:w="1500"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134.12</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年初财政拨款结转和结余</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年末财政拨款结转和结余</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83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3,165.08</w:t>
            </w:r>
          </w:p>
        </w:tc>
        <w:tc>
          <w:tcPr>
            <w:tcW w:w="366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3,165.08</w:t>
            </w:r>
          </w:p>
        </w:tc>
        <w:tc>
          <w:tcPr>
            <w:tcW w:w="1415" w:type="dxa"/>
            <w:gridSpan w:val="2"/>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3,030.96</w:t>
            </w:r>
          </w:p>
        </w:tc>
        <w:tc>
          <w:tcPr>
            <w:tcW w:w="150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134.12</w:t>
            </w:r>
          </w:p>
        </w:tc>
        <w:tc>
          <w:tcPr>
            <w:tcW w:w="1500"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ind w:left="0" w:leftChars="0" w:firstLine="0" w:firstLineChars="0"/>
        <w:jc w:val="both"/>
        <w:rPr>
          <w:rFonts w:hint="eastAsia" w:ascii="仿宋" w:hAnsi="仿宋" w:eastAsia="仿宋" w:cs="仿宋"/>
          <w:b w:val="0"/>
          <w:bCs w:val="0"/>
        </w:rPr>
      </w:pPr>
      <w:r>
        <w:rPr>
          <w:rFonts w:hint="eastAsia" w:ascii="仿宋" w:hAnsi="仿宋" w:eastAsia="仿宋" w:cs="仿宋"/>
          <w:b w:val="0"/>
          <w:bCs w:val="0"/>
          <w:lang w:val="en-US" w:eastAsia="zh-CN"/>
        </w:rPr>
        <w:t>注：</w:t>
      </w:r>
      <w:r>
        <w:rPr>
          <w:rFonts w:hint="eastAsia" w:ascii="仿宋" w:hAnsi="仿宋" w:eastAsia="仿宋" w:cs="仿宋"/>
          <w:b w:val="0"/>
          <w:bCs w:val="0"/>
        </w:rPr>
        <w:t>本表反映本年度一般公共预算财政拨款、政府性基金预算财政拨款和国有资本经营预算财政拨款的总收支和年末结转结余情况。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jc w:val="both"/>
        <w:rPr>
          <w:rFonts w:hint="eastAsia" w:ascii="仿宋" w:hAnsi="仿宋" w:eastAsia="仿宋" w:cs="仿宋"/>
          <w:b w:val="0"/>
          <w:bCs w:val="0"/>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tblPrEx>
          <w:tblCellMar>
            <w:top w:w="55" w:type="dxa"/>
            <w:left w:w="55" w:type="dxa"/>
            <w:bottom w:w="55" w:type="dxa"/>
            <w:right w:w="55" w:type="dxa"/>
          </w:tblCellMar>
        </w:tblPrEx>
        <w:trPr>
          <w:trHeight w:val="321" w:hRule="atLeast"/>
        </w:trPr>
        <w:tc>
          <w:tcPr>
            <w:tcW w:w="15417"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财政拨款支出决算表（功能科目）</w:t>
            </w:r>
          </w:p>
        </w:tc>
      </w:tr>
      <w:tr>
        <w:tblPrEx>
          <w:tblCellMar>
            <w:top w:w="55" w:type="dxa"/>
            <w:left w:w="55" w:type="dxa"/>
            <w:bottom w:w="55" w:type="dxa"/>
            <w:right w:w="55" w:type="dxa"/>
          </w:tblCellMar>
        </w:tblPrEx>
        <w:trPr>
          <w:trHeight w:val="321" w:hRule="atLeast"/>
        </w:trPr>
        <w:tc>
          <w:tcPr>
            <w:tcW w:w="6300" w:type="dxa"/>
            <w:gridSpan w:val="2"/>
          </w:tcPr>
          <w:p>
            <w:pPr>
              <w:pStyle w:val="22"/>
              <w:widowControl w:val="0"/>
              <w:rPr>
                <w:rFonts w:hint="eastAsia" w:ascii="仿宋" w:hAnsi="仿宋" w:eastAsia="仿宋" w:cs="仿宋"/>
                <w:sz w:val="20"/>
              </w:rPr>
            </w:pPr>
          </w:p>
        </w:tc>
        <w:tc>
          <w:tcPr>
            <w:tcW w:w="3184" w:type="dxa"/>
          </w:tcPr>
          <w:p>
            <w:pPr>
              <w:pStyle w:val="22"/>
              <w:widowControl w:val="0"/>
              <w:rPr>
                <w:rFonts w:hint="eastAsia" w:ascii="仿宋" w:hAnsi="仿宋" w:eastAsia="仿宋" w:cs="仿宋"/>
                <w:sz w:val="27"/>
              </w:rPr>
            </w:pPr>
          </w:p>
        </w:tc>
        <w:tc>
          <w:tcPr>
            <w:tcW w:w="5933" w:type="dxa"/>
            <w:gridSpan w:val="2"/>
            <w:vAlign w:val="center"/>
          </w:tcPr>
          <w:p>
            <w:pPr>
              <w:pStyle w:val="22"/>
              <w:widowControl w:val="0"/>
              <w:jc w:val="right"/>
              <w:rPr>
                <w:rFonts w:hint="eastAsia" w:ascii="仿宋" w:hAnsi="仿宋" w:eastAsia="仿宋" w:cs="仿宋"/>
                <w:sz w:val="27"/>
              </w:rPr>
            </w:pPr>
            <w:r>
              <w:rPr>
                <w:rFonts w:hint="eastAsia" w:ascii="仿宋" w:hAnsi="仿宋" w:eastAsia="仿宋" w:cs="仿宋"/>
              </w:rPr>
              <w:t>公开05表</w:t>
            </w:r>
          </w:p>
        </w:tc>
      </w:tr>
      <w:tr>
        <w:tblPrEx>
          <w:tblCellMar>
            <w:top w:w="55" w:type="dxa"/>
            <w:left w:w="55" w:type="dxa"/>
            <w:bottom w:w="55" w:type="dxa"/>
            <w:right w:w="55" w:type="dxa"/>
          </w:tblCellMar>
        </w:tblPrEx>
        <w:trPr>
          <w:trHeight w:val="288" w:hRule="atLeast"/>
        </w:trPr>
        <w:tc>
          <w:tcPr>
            <w:tcW w:w="6300" w:type="dxa"/>
            <w:gridSpan w:val="2"/>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溧阳市应急管理局</w:t>
            </w:r>
          </w:p>
        </w:tc>
        <w:tc>
          <w:tcPr>
            <w:tcW w:w="3184" w:type="dxa"/>
          </w:tcPr>
          <w:p>
            <w:pPr>
              <w:pStyle w:val="22"/>
              <w:widowControl w:val="0"/>
              <w:rPr>
                <w:rFonts w:hint="eastAsia" w:ascii="仿宋" w:hAnsi="仿宋" w:eastAsia="仿宋" w:cs="仿宋"/>
                <w:sz w:val="27"/>
              </w:rPr>
            </w:pPr>
          </w:p>
        </w:tc>
        <w:tc>
          <w:tcPr>
            <w:tcW w:w="2778" w:type="dxa"/>
            <w:vAlign w:val="center"/>
          </w:tcPr>
          <w:p>
            <w:pPr>
              <w:pStyle w:val="22"/>
              <w:widowControl w:val="0"/>
              <w:jc w:val="right"/>
              <w:rPr>
                <w:rFonts w:hint="eastAsia" w:ascii="仿宋" w:hAnsi="仿宋" w:eastAsia="仿宋" w:cs="仿宋"/>
                <w:sz w:val="27"/>
              </w:rPr>
            </w:pPr>
          </w:p>
        </w:tc>
        <w:tc>
          <w:tcPr>
            <w:tcW w:w="3155"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184"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本年支出合计</w:t>
            </w:r>
          </w:p>
        </w:tc>
        <w:tc>
          <w:tcPr>
            <w:tcW w:w="2778"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功能分类</w:t>
            </w:r>
          </w:p>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502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184"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2778"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3155"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栏次</w:t>
            </w:r>
          </w:p>
        </w:tc>
        <w:tc>
          <w:tcPr>
            <w:tcW w:w="318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1</w:t>
            </w:r>
          </w:p>
        </w:tc>
        <w:tc>
          <w:tcPr>
            <w:tcW w:w="27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2</w:t>
            </w:r>
          </w:p>
        </w:tc>
        <w:tc>
          <w:tcPr>
            <w:tcW w:w="3155"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3</w:t>
            </w:r>
          </w:p>
        </w:tc>
      </w:tr>
      <w:tr>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184"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3,165.08</w:t>
            </w:r>
          </w:p>
        </w:tc>
        <w:tc>
          <w:tcPr>
            <w:tcW w:w="2778"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rPr>
              <w:t>1,809.32</w:t>
            </w:r>
          </w:p>
        </w:tc>
        <w:tc>
          <w:tcPr>
            <w:tcW w:w="3155"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1,355.76</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城乡社区支出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134.12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134.12</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国有土地使用权出让收入安排的支出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134.12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134.12</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2120899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其他国有土地使用权出让收入安排的支出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134.12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134.12</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351.27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351.27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351.27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351.27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212.70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212.70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138.57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138.57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224</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灾害防治及应急管理支出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2,679.69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1,458.04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1,221.64</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22401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应急管理事务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2,578.69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1,458.04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1,120.64</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2240101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行政运行</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1,458.04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1,458.04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2240102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一般行政管理事务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61.50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61.50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2240104</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灾害风险防治</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174.50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174.50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2240106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安全监管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690.66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690.66</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2240108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应急救援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2240109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应急管理</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115.99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115.99</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2240199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其他应急管理支出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22406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自然灾害防治</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2240699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其他自然灾害防治支出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22407</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自然灾害救灾及恢复重建支出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2240799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其他自然灾害救灾及恢复重建支出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w:t>
            </w:r>
          </w:p>
        </w:tc>
      </w:tr>
    </w:tbl>
    <w:p>
      <w:pPr>
        <w:widowControl w:val="0"/>
        <w:tabs>
          <w:tab w:val="left" w:pos="0"/>
        </w:tabs>
        <w:suppressAutoHyphens/>
        <w:bidi w:val="0"/>
        <w:spacing w:before="0" w:after="0"/>
        <w:ind w:left="0" w:leftChars="0" w:right="0" w:firstLine="0" w:firstLineChars="0"/>
        <w:jc w:val="both"/>
        <w:rPr>
          <w:rFonts w:hint="eastAsia" w:ascii="仿宋" w:hAnsi="仿宋" w:eastAsia="仿宋" w:cs="仿宋"/>
          <w:b w:val="0"/>
          <w:bCs w:val="0"/>
        </w:rPr>
      </w:pPr>
      <w:r>
        <w:rPr>
          <w:rFonts w:hint="eastAsia" w:ascii="仿宋" w:hAnsi="仿宋" w:eastAsia="仿宋" w:cs="仿宋"/>
          <w:b w:val="0"/>
          <w:bCs w:val="0"/>
        </w:rPr>
        <w:t>注：本表反映本年度一般公共预算财政拨款、政府性基金预算财政拨款和国有资本经营预算财政拨款支出情况。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val="0"/>
          <w:bCs w:val="0"/>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tblPrEx>
          <w:tblCellMar>
            <w:top w:w="55" w:type="dxa"/>
            <w:left w:w="55" w:type="dxa"/>
            <w:bottom w:w="55" w:type="dxa"/>
            <w:right w:w="55" w:type="dxa"/>
          </w:tblCellMar>
        </w:tblPrEx>
        <w:trPr>
          <w:trHeight w:val="319" w:hRule="atLeast"/>
        </w:trPr>
        <w:tc>
          <w:tcPr>
            <w:tcW w:w="10515"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财政拨款基本支出决算表（经济科目）</w:t>
            </w:r>
          </w:p>
        </w:tc>
      </w:tr>
      <w:tr>
        <w:tblPrEx>
          <w:tblCellMar>
            <w:top w:w="55" w:type="dxa"/>
            <w:left w:w="55" w:type="dxa"/>
            <w:bottom w:w="55" w:type="dxa"/>
            <w:right w:w="55" w:type="dxa"/>
          </w:tblCellMar>
        </w:tblPrEx>
        <w:trPr>
          <w:trHeight w:val="319" w:hRule="atLeast"/>
        </w:trPr>
        <w:tc>
          <w:tcPr>
            <w:tcW w:w="4532" w:type="dxa"/>
            <w:gridSpan w:val="2"/>
          </w:tcPr>
          <w:p>
            <w:pPr>
              <w:pStyle w:val="22"/>
              <w:widowControl w:val="0"/>
              <w:rPr>
                <w:rFonts w:hint="eastAsia" w:ascii="仿宋" w:hAnsi="仿宋" w:eastAsia="仿宋" w:cs="仿宋"/>
                <w:sz w:val="20"/>
              </w:rPr>
            </w:pPr>
          </w:p>
        </w:tc>
        <w:tc>
          <w:tcPr>
            <w:tcW w:w="2047" w:type="dxa"/>
          </w:tcPr>
          <w:p>
            <w:pPr>
              <w:pStyle w:val="22"/>
              <w:widowControl w:val="0"/>
              <w:rPr>
                <w:rFonts w:hint="eastAsia" w:ascii="仿宋" w:hAnsi="仿宋" w:eastAsia="仿宋" w:cs="仿宋"/>
                <w:sz w:val="20"/>
              </w:rPr>
            </w:pPr>
          </w:p>
        </w:tc>
        <w:tc>
          <w:tcPr>
            <w:tcW w:w="2040" w:type="dxa"/>
          </w:tcPr>
          <w:p>
            <w:pPr>
              <w:pStyle w:val="22"/>
              <w:widowControl w:val="0"/>
              <w:rPr>
                <w:rFonts w:hint="eastAsia" w:ascii="仿宋" w:hAnsi="仿宋" w:eastAsia="仿宋" w:cs="仿宋"/>
                <w:sz w:val="20"/>
              </w:rPr>
            </w:pP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8619"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sz w:val="22"/>
                <w:szCs w:val="22"/>
              </w:rPr>
              <w:t>溧阳市应急管理局</w:t>
            </w: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财政拨款基本支出</w:t>
            </w:r>
          </w:p>
        </w:tc>
      </w:tr>
      <w:tr>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1,809.32</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1,693.48</w:t>
            </w:r>
          </w:p>
        </w:tc>
        <w:tc>
          <w:tcPr>
            <w:tcW w:w="1896"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115.84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1,629.03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1,629.03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566.76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566.76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610.50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610.50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134.05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134.05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64.05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64.05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212.70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212.70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115.84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115.84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16.75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16.75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10.96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10.96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51.10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51.10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26.15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26.15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64.45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64.45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42.79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42.79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tabs>
          <w:tab w:val="left" w:pos="660"/>
          <w:tab w:val="left" w:pos="10780"/>
        </w:tabs>
        <w:suppressAutoHyphens/>
        <w:bidi w:val="0"/>
        <w:spacing w:before="25" w:after="0" w:line="290" w:lineRule="auto"/>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注：本表反映本年度一般公共预算财政拨款、政府性基金预算财政拨款和国有资本经营预算财政拨款基本支出情况。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0" w:after="0" w:line="255" w:lineRule="exact"/>
        <w:jc w:val="both"/>
        <w:rPr>
          <w:rFonts w:hint="eastAsia" w:ascii="仿宋" w:hAnsi="仿宋" w:eastAsia="仿宋" w:cs="仿宋"/>
          <w:b w:val="0"/>
          <w:bCs w:val="0"/>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tblPrEx>
          <w:tblCellMar>
            <w:top w:w="55" w:type="dxa"/>
            <w:left w:w="55" w:type="dxa"/>
            <w:bottom w:w="55" w:type="dxa"/>
            <w:right w:w="55" w:type="dxa"/>
          </w:tblCellMar>
        </w:tblPrEx>
        <w:trPr>
          <w:trHeight w:val="560" w:hRule="atLeast"/>
        </w:trPr>
        <w:tc>
          <w:tcPr>
            <w:tcW w:w="10446"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一般公共预算支出决算表（功能科目）</w:t>
            </w:r>
          </w:p>
        </w:tc>
      </w:tr>
      <w:tr>
        <w:tblPrEx>
          <w:tblCellMar>
            <w:top w:w="55" w:type="dxa"/>
            <w:left w:w="55" w:type="dxa"/>
            <w:bottom w:w="55" w:type="dxa"/>
            <w:right w:w="55" w:type="dxa"/>
          </w:tblCellMar>
        </w:tblPrEx>
        <w:trPr>
          <w:trHeight w:val="147" w:hRule="atLeast"/>
        </w:trPr>
        <w:tc>
          <w:tcPr>
            <w:tcW w:w="5466" w:type="dxa"/>
            <w:gridSpan w:val="2"/>
          </w:tcPr>
          <w:p>
            <w:pPr>
              <w:pStyle w:val="22"/>
              <w:widowControl w:val="0"/>
              <w:rPr>
                <w:rFonts w:hint="eastAsia" w:ascii="仿宋" w:hAnsi="仿宋" w:eastAsia="仿宋" w:cs="仿宋"/>
                <w:sz w:val="20"/>
              </w:rPr>
            </w:pPr>
          </w:p>
        </w:tc>
        <w:tc>
          <w:tcPr>
            <w:tcW w:w="1969" w:type="dxa"/>
          </w:tcPr>
          <w:p>
            <w:pPr>
              <w:pStyle w:val="22"/>
              <w:widowControl w:val="0"/>
              <w:rPr>
                <w:rFonts w:hint="eastAsia" w:ascii="仿宋" w:hAnsi="仿宋" w:eastAsia="仿宋" w:cs="仿宋"/>
                <w:sz w:val="20"/>
              </w:rPr>
            </w:pPr>
          </w:p>
        </w:tc>
        <w:tc>
          <w:tcPr>
            <w:tcW w:w="1499" w:type="dxa"/>
          </w:tcPr>
          <w:p>
            <w:pPr>
              <w:pStyle w:val="22"/>
              <w:widowControl w:val="0"/>
              <w:rPr>
                <w:rFonts w:hint="eastAsia" w:ascii="仿宋" w:hAnsi="仿宋" w:eastAsia="仿宋" w:cs="仿宋"/>
                <w:sz w:val="20"/>
              </w:rPr>
            </w:pPr>
          </w:p>
        </w:tc>
        <w:tc>
          <w:tcPr>
            <w:tcW w:w="1512"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公开07表</w:t>
            </w:r>
          </w:p>
        </w:tc>
      </w:tr>
      <w:tr>
        <w:tblPrEx>
          <w:tblCellMar>
            <w:top w:w="55" w:type="dxa"/>
            <w:left w:w="55" w:type="dxa"/>
            <w:bottom w:w="55" w:type="dxa"/>
            <w:right w:w="55" w:type="dxa"/>
          </w:tblCellMar>
        </w:tblPrEx>
        <w:trPr>
          <w:trHeight w:val="303" w:hRule="atLeast"/>
        </w:trPr>
        <w:tc>
          <w:tcPr>
            <w:tcW w:w="7435" w:type="dxa"/>
            <w:gridSpan w:val="3"/>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溧阳市应急管理局</w:t>
            </w:r>
          </w:p>
        </w:tc>
        <w:tc>
          <w:tcPr>
            <w:tcW w:w="3011" w:type="dxa"/>
            <w:gridSpan w:val="2"/>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w:t>
            </w:r>
          </w:p>
        </w:tc>
      </w:tr>
      <w:tr>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
            </w: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3,030.96</w:t>
            </w:r>
          </w:p>
        </w:tc>
        <w:tc>
          <w:tcPr>
            <w:tcW w:w="149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1,809.32</w:t>
            </w:r>
          </w:p>
        </w:tc>
        <w:tc>
          <w:tcPr>
            <w:tcW w:w="1512" w:type="dxa"/>
            <w:tcBorders>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1,221.64</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351.27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351.27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351.27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351.27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212.70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212.70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138.57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138.57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224</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灾害防治及应急管理支出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2,679.69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1,458.04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1,221.64</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22401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应急管理事务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2,578.69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1,458.04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1,120.64</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2240101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行政运行</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1,458.04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1,458.04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2240102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一般行政管理事务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61.50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61.50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2240104</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灾害风险防治</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174.50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174.50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2240106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安全监管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690.66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690.66</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2240108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应急救援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2240109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应急管理</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115.99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115.99</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2240199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其他应急管理支出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22406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自然灾害防治</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2240699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其他自然灾害防治支出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22407</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自然灾害救灾及恢复重建支出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2240799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其他自然灾害救灾及恢复重建支出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100.00</w:t>
            </w:r>
          </w:p>
        </w:tc>
      </w:tr>
    </w:tbl>
    <w:p>
      <w:pPr>
        <w:tabs>
          <w:tab w:val="left" w:pos="0"/>
        </w:tabs>
        <w:spacing w:before="25" w:after="0"/>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tblPrEx>
          <w:tblCellMar>
            <w:top w:w="55" w:type="dxa"/>
            <w:left w:w="55" w:type="dxa"/>
            <w:bottom w:w="55" w:type="dxa"/>
            <w:right w:w="55" w:type="dxa"/>
          </w:tblCellMar>
        </w:tblPrEx>
        <w:trPr>
          <w:trHeight w:val="319" w:hRule="atLeast"/>
        </w:trPr>
        <w:tc>
          <w:tcPr>
            <w:tcW w:w="10473" w:type="dxa"/>
            <w:gridSpan w:val="5"/>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一般公共预算基本支出决算表（经济科目）</w:t>
            </w:r>
          </w:p>
        </w:tc>
      </w:tr>
      <w:tr>
        <w:tblPrEx>
          <w:tblCellMar>
            <w:top w:w="55" w:type="dxa"/>
            <w:left w:w="55" w:type="dxa"/>
            <w:bottom w:w="55" w:type="dxa"/>
            <w:right w:w="55" w:type="dxa"/>
          </w:tblCellMar>
        </w:tblPrEx>
        <w:trPr>
          <w:trHeight w:val="199" w:hRule="atLeast"/>
        </w:trPr>
        <w:tc>
          <w:tcPr>
            <w:tcW w:w="8595" w:type="dxa"/>
            <w:gridSpan w:val="4"/>
            <w:vAlign w:val="center"/>
          </w:tcPr>
          <w:p>
            <w:pPr>
              <w:pStyle w:val="22"/>
              <w:widowControl w:val="0"/>
              <w:jc w:val="right"/>
              <w:rPr>
                <w:rFonts w:hint="eastAsia" w:ascii="仿宋" w:hAnsi="仿宋" w:eastAsia="仿宋" w:cs="仿宋"/>
                <w:color w:val="000000"/>
                <w:sz w:val="22"/>
                <w:szCs w:val="22"/>
                <w:lang w:eastAsia="zh-CN"/>
              </w:rPr>
            </w:pPr>
          </w:p>
        </w:tc>
        <w:tc>
          <w:tcPr>
            <w:tcW w:w="1878" w:type="dxa"/>
            <w:vAlign w:val="center"/>
          </w:tcPr>
          <w:p>
            <w:pPr>
              <w:pStyle w:val="22"/>
              <w:widowControl w:val="0"/>
              <w:jc w:val="right"/>
              <w:rPr>
                <w:rFonts w:hint="eastAsia" w:ascii="仿宋" w:hAnsi="仿宋" w:eastAsia="仿宋" w:cs="仿宋"/>
              </w:rPr>
            </w:pPr>
            <w:r>
              <w:rPr>
                <w:rFonts w:hint="eastAsia" w:ascii="仿宋" w:hAnsi="仿宋" w:eastAsia="仿宋" w:cs="仿宋"/>
              </w:rPr>
              <w:t>公开08表</w:t>
            </w:r>
          </w:p>
        </w:tc>
      </w:tr>
      <w:tr>
        <w:tblPrEx>
          <w:tblCellMar>
            <w:top w:w="55" w:type="dxa"/>
            <w:left w:w="55" w:type="dxa"/>
            <w:bottom w:w="55" w:type="dxa"/>
            <w:right w:w="55" w:type="dxa"/>
          </w:tblCellMar>
        </w:tblPrEx>
        <w:trPr>
          <w:trHeight w:val="320" w:hRule="atLeast"/>
        </w:trPr>
        <w:tc>
          <w:tcPr>
            <w:tcW w:w="8595"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溧阳市应急管理局</w:t>
            </w:r>
          </w:p>
        </w:tc>
        <w:tc>
          <w:tcPr>
            <w:tcW w:w="1878"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一般公共预算财政拨款基本支出</w:t>
            </w:r>
          </w:p>
        </w:tc>
      </w:tr>
      <w:tr>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1,809.32</w:t>
            </w:r>
          </w:p>
        </w:tc>
        <w:tc>
          <w:tcPr>
            <w:tcW w:w="170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1,693.48</w:t>
            </w:r>
          </w:p>
        </w:tc>
        <w:tc>
          <w:tcPr>
            <w:tcW w:w="187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115.84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1,629.03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1,629.03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566.76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566.76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610.50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610.50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134.05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134.05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64.05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64.05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212.70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212.70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115.84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115.84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16.75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16.75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10.96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10.96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51.10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51.10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26.15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26.15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64.45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64.45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42.79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42.79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spacing w:before="25" w:after="0"/>
        <w:ind w:left="0" w:leftChars="0" w:right="-92" w:rightChars="-42"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tblPrEx>
          <w:tblCellMar>
            <w:top w:w="55" w:type="dxa"/>
            <w:left w:w="55" w:type="dxa"/>
            <w:bottom w:w="55" w:type="dxa"/>
            <w:right w:w="55" w:type="dxa"/>
          </w:tblCellMar>
        </w:tblPrEx>
        <w:trPr>
          <w:trHeight w:val="321" w:hRule="atLeast"/>
        </w:trPr>
        <w:tc>
          <w:tcPr>
            <w:tcW w:w="16486" w:type="dxa"/>
            <w:gridSpan w:val="16"/>
          </w:tcPr>
          <w:p>
            <w:pPr>
              <w:pStyle w:val="22"/>
              <w:widowControl w:val="0"/>
              <w:jc w:val="center"/>
              <w:rPr>
                <w:rFonts w:hint="eastAsia" w:ascii="仿宋" w:hAnsi="仿宋" w:eastAsia="仿宋" w:cs="仿宋"/>
                <w:b/>
                <w:bCs/>
                <w:sz w:val="44"/>
                <w:szCs w:val="44"/>
              </w:rPr>
            </w:pPr>
            <w:r>
              <w:rPr>
                <w:rFonts w:hint="eastAsia" w:cs="宋体"/>
                <w:b/>
                <w:bCs/>
                <w:color w:val="000000"/>
                <w:kern w:val="0"/>
                <w:sz w:val="36"/>
                <w:szCs w:val="36"/>
                <w:lang w:val="en-US" w:eastAsia="ar-SA" w:bidi="zh-CN"/>
              </w:rPr>
              <w:t>财政拨款</w:t>
            </w:r>
            <w:r>
              <w:rPr>
                <w:rFonts w:hint="eastAsia" w:ascii="宋体" w:hAnsi="宋体" w:eastAsia="宋体" w:cs="宋体"/>
                <w:b/>
                <w:bCs/>
                <w:color w:val="000000"/>
                <w:kern w:val="0"/>
                <w:sz w:val="36"/>
                <w:szCs w:val="36"/>
                <w:lang w:val="zh-CN" w:eastAsia="ar-SA" w:bidi="zh-CN"/>
              </w:rPr>
              <w:t>“三公”经费、会议费、培训费支出决算表</w:t>
            </w:r>
          </w:p>
        </w:tc>
      </w:tr>
      <w:tr>
        <w:tblPrEx>
          <w:tblCellMar>
            <w:top w:w="55" w:type="dxa"/>
            <w:left w:w="55" w:type="dxa"/>
            <w:bottom w:w="55" w:type="dxa"/>
            <w:right w:w="55" w:type="dxa"/>
          </w:tblCellMar>
        </w:tblPrEx>
        <w:trPr>
          <w:trHeight w:val="207" w:hRule="atLeast"/>
        </w:trPr>
        <w:tc>
          <w:tcPr>
            <w:tcW w:w="16486" w:type="dxa"/>
            <w:gridSpan w:val="16"/>
          </w:tcPr>
          <w:p>
            <w:pPr>
              <w:pStyle w:val="22"/>
              <w:widowControl w:val="0"/>
              <w:jc w:val="right"/>
              <w:rPr>
                <w:rFonts w:hint="eastAsia" w:ascii="仿宋" w:hAnsi="仿宋" w:eastAsia="仿宋" w:cs="仿宋"/>
                <w:sz w:val="20"/>
              </w:rPr>
            </w:pPr>
            <w:r>
              <w:rPr>
                <w:rFonts w:hint="eastAsia" w:ascii="仿宋" w:hAnsi="仿宋" w:eastAsia="仿宋" w:cs="仿宋"/>
              </w:rPr>
              <w:t>公开09表</w:t>
            </w:r>
          </w:p>
        </w:tc>
      </w:tr>
      <w:tr>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溧阳市应急管理局</w:t>
            </w:r>
          </w:p>
        </w:tc>
        <w:tc>
          <w:tcPr>
            <w:tcW w:w="8274" w:type="dxa"/>
            <w:gridSpan w:val="8"/>
            <w:tcBorders>
              <w:bottom w:val="single" w:color="auto" w:sz="4" w:space="0"/>
            </w:tcBorders>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rPr>
            </w:pPr>
            <w:r>
              <w:rPr>
                <w:rFonts w:hint="eastAsia" w:ascii="仿宋" w:hAnsi="仿宋" w:eastAsia="仿宋" w:cs="仿宋"/>
                <w:lang w:val="en-US" w:eastAsia="zh-CN"/>
              </w:rPr>
              <w:t>预算数</w:t>
            </w:r>
          </w:p>
        </w:tc>
        <w:tc>
          <w:tcPr>
            <w:tcW w:w="8274"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决算数</w:t>
            </w:r>
          </w:p>
        </w:tc>
      </w:tr>
      <w:tr>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r>
      <w:tr>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pPr>
              <w:widowControl w:val="0"/>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r>
      <w:tr>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02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
            </w:r>
            <w:r>
              <w:rPr>
                <w:rFonts w:ascii="仿宋" w:hAnsi="仿宋" w:cs="仿宋" w:eastAsia="仿宋"/>
              </w:rPr>
              <w:t>小计</w:t>
            </w:r>
          </w:p>
        </w:tc>
        <w:tc>
          <w:tcPr>
            <w:tcW w:w="1089"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10.61</w:t>
            </w:r>
          </w:p>
        </w:tc>
        <w:tc>
          <w:tcPr>
            <w:tcW w:w="104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2.58</w:t>
            </w:r>
          </w:p>
        </w:tc>
        <w:tc>
          <w:tcPr>
            <w:tcW w:w="10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0.66</w:t>
            </w:r>
          </w:p>
        </w:tc>
        <w:tc>
          <w:tcPr>
            <w:tcW w:w="102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0.66</w:t>
            </w:r>
          </w:p>
        </w:tc>
        <w:tc>
          <w:tcPr>
            <w:tcW w:w="1026"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7.37</w:t>
            </w:r>
          </w:p>
        </w:tc>
        <w:tc>
          <w:tcPr>
            <w:tcW w:w="104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2.91</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46.90</w:t>
            </w:r>
          </w:p>
        </w:tc>
        <w:tc>
          <w:tcPr>
            <w:tcW w:w="10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10.61</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2.58</w:t>
            </w:r>
          </w:p>
        </w:tc>
        <w:tc>
          <w:tcPr>
            <w:tcW w:w="94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0.66</w:t>
            </w:r>
          </w:p>
        </w:tc>
        <w:tc>
          <w:tcPr>
            <w:tcW w:w="1089"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0.66</w:t>
            </w:r>
          </w:p>
        </w:tc>
        <w:tc>
          <w:tcPr>
            <w:tcW w:w="104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7.37</w:t>
            </w:r>
          </w:p>
        </w:tc>
        <w:tc>
          <w:tcPr>
            <w:tcW w:w="1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2.91</w:t>
            </w:r>
          </w:p>
        </w:tc>
        <w:tc>
          <w:tcPr>
            <w:tcW w:w="102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46.90</w:t>
            </w:r>
          </w:p>
        </w:tc>
      </w:tr>
    </w:tbl>
    <w:p>
      <w:pPr>
        <w:spacing w:before="30" w:after="33"/>
        <w:ind w:left="220" w:leftChars="100" w:firstLine="0" w:firstLineChars="0"/>
        <w:rPr>
          <w:rFonts w:hint="eastAsia" w:ascii="仿宋" w:hAnsi="仿宋" w:eastAsia="仿宋" w:cs="仿宋"/>
          <w:sz w:val="22"/>
          <w:szCs w:val="22"/>
        </w:rPr>
      </w:pPr>
      <w:r>
        <w:rPr>
          <w:rFonts w:hint="eastAsia" w:ascii="仿宋" w:hAnsi="仿宋" w:eastAsia="仿宋" w:cs="仿宋"/>
          <w:sz w:val="22"/>
          <w:szCs w:val="22"/>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
            </w:r>
            <w:r>
              <w:rPr>
                <w:rFonts w:ascii="仿宋" w:hAnsi="仿宋" w:cs="仿宋" w:eastAsia="仿宋"/>
                <w:sz w:val="22"/>
              </w:rPr>
              <w:t>项目</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项目</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521</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15</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120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6</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300</w:t>
            </w:r>
          </w:p>
        </w:tc>
      </w:tr>
    </w:tbl>
    <w:p>
      <w:pPr>
        <w:widowControl w:val="0"/>
        <w:suppressAutoHyphens/>
        <w:bidi w:val="0"/>
        <w:spacing w:before="0" w:after="0"/>
        <w:ind w:left="0" w:leftChars="0" w:right="-2"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本表反映本年度财政拨款“三公”经费、会议费和培训费支出情况。其中，预算数为全年预算数，反映按规定程序调整后的预算数；决算数是包括当年财政拨款和以前年度结转资金安排的实际支出。</w:t>
      </w:r>
      <w:r>
        <w:rPr>
          <w:rFonts w:ascii="仿宋" w:hAnsi="仿宋" w:cs="仿宋" w:eastAsia="仿宋"/>
          <w:sz w:val="22"/>
        </w:rPr>
        <w:t/>
      </w:r>
      <w:r>
        <w:rPr>
          <w:rFonts w:hint="eastAsia" w:ascii="仿宋" w:hAnsi="仿宋" w:eastAsia="仿宋" w:cs="仿宋"/>
          <w:b w:val="0"/>
          <w:bCs w:val="0"/>
          <w:sz w:val="22"/>
          <w:szCs w:val="22"/>
          <w:lang w:val="en-US" w:eastAsia="zh-CN"/>
        </w:rPr>
        <w:t>本表金额单位转换时可能存在尾数误差</w:t>
      </w:r>
      <w:r>
        <w:rPr>
          <w:rFonts w:hint="eastAsia" w:ascii="仿宋" w:hAnsi="仿宋" w:eastAsia="仿宋" w:cs="仿宋"/>
          <w:b w:val="0"/>
          <w:bCs w:val="0"/>
          <w:sz w:val="22"/>
          <w:szCs w:val="22"/>
        </w:rPr>
        <w:t>。</w:t>
      </w:r>
      <w:r>
        <w:rPr>
          <w:rFonts w:hint="eastAsia" w:ascii="仿宋" w:hAnsi="仿宋" w:eastAsia="仿宋" w:cs="仿宋"/>
          <w:b w:val="0"/>
          <w:bCs w:val="0"/>
          <w:sz w:val="22"/>
          <w:szCs w:val="22"/>
          <w:lang w:val="en-US" w:eastAsia="zh-CN"/>
        </w:rPr>
        <w:t/>
      </w:r>
    </w:p>
    <w:p>
      <w:pPr>
        <w:widowControl w:val="0"/>
        <w:suppressAutoHyphens/>
        <w:bidi w:val="0"/>
        <w:spacing w:before="0" w:after="0"/>
        <w:ind w:left="227" w:right="0" w:firstLine="220" w:firstLineChars="100"/>
        <w:jc w:val="both"/>
        <w:rPr>
          <w:rFonts w:hint="eastAsia" w:ascii="仿宋" w:hAnsi="仿宋" w:eastAsia="仿宋" w:cs="仿宋"/>
          <w:b w:val="0"/>
          <w:bCs w:val="0"/>
          <w:sz w:val="22"/>
          <w:szCs w:val="22"/>
        </w:rPr>
        <w:sectPr>
          <w:footerReference r:id="rId16" w:type="default"/>
          <w:pgSz w:w="16838" w:h="11906" w:orient="landscape"/>
          <w:pgMar w:top="720" w:right="153" w:bottom="720" w:left="15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政府性基金预算支出决算表</w:t>
            </w:r>
          </w:p>
        </w:tc>
      </w:tr>
      <w:tr>
        <w:tblPrEx>
          <w:tblCellMar>
            <w:top w:w="55" w:type="dxa"/>
            <w:left w:w="55" w:type="dxa"/>
            <w:bottom w:w="55" w:type="dxa"/>
            <w:right w:w="55" w:type="dxa"/>
          </w:tblCellMar>
        </w:tblPrEx>
        <w:trPr>
          <w:trHeight w:val="323" w:hRule="atLeast"/>
        </w:trPr>
        <w:tc>
          <w:tcPr>
            <w:tcW w:w="8426" w:type="dxa"/>
            <w:gridSpan w:val="2"/>
          </w:tcPr>
          <w:p>
            <w:pPr>
              <w:pStyle w:val="22"/>
              <w:widowControl w:val="0"/>
              <w:rPr>
                <w:rFonts w:hint="eastAsia" w:ascii="仿宋" w:hAnsi="仿宋" w:eastAsia="仿宋" w:cs="仿宋"/>
                <w:sz w:val="20"/>
              </w:rPr>
            </w:pPr>
          </w:p>
        </w:tc>
        <w:tc>
          <w:tcPr>
            <w:tcW w:w="2684" w:type="dxa"/>
          </w:tcPr>
          <w:p>
            <w:pPr>
              <w:pStyle w:val="22"/>
              <w:widowControl w:val="0"/>
              <w:rPr>
                <w:rFonts w:hint="eastAsia" w:ascii="仿宋" w:hAnsi="仿宋" w:eastAsia="仿宋" w:cs="仿宋"/>
                <w:sz w:val="27"/>
              </w:rPr>
            </w:pPr>
          </w:p>
        </w:tc>
        <w:tc>
          <w:tcPr>
            <w:tcW w:w="2432" w:type="dxa"/>
          </w:tcPr>
          <w:p>
            <w:pPr>
              <w:pStyle w:val="22"/>
              <w:widowControl w:val="0"/>
              <w:rPr>
                <w:rFonts w:hint="eastAsia" w:ascii="仿宋" w:hAnsi="仿宋" w:eastAsia="仿宋" w:cs="仿宋"/>
                <w:sz w:val="20"/>
              </w:rPr>
            </w:pP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公开10表</w:t>
            </w:r>
          </w:p>
        </w:tc>
      </w:tr>
      <w:tr>
        <w:tblPrEx>
          <w:tblCellMar>
            <w:top w:w="55" w:type="dxa"/>
            <w:left w:w="55" w:type="dxa"/>
            <w:bottom w:w="55" w:type="dxa"/>
            <w:right w:w="55" w:type="dxa"/>
          </w:tblCellMar>
        </w:tblPrEx>
        <w:trPr>
          <w:trHeight w:val="152" w:hRule="atLeast"/>
        </w:trPr>
        <w:tc>
          <w:tcPr>
            <w:tcW w:w="13542"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溧阳市应急管理局</w:t>
            </w: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43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2</w:t>
            </w:r>
          </w:p>
        </w:tc>
      </w:tr>
      <w:tr>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134.12</w:t>
            </w:r>
          </w:p>
        </w:tc>
        <w:tc>
          <w:tcPr>
            <w:tcW w:w="243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134.12</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212</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城乡社区支出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134.12</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134.12</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21208</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国有土地使用权出让收入安排的支出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134.12</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134.12</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2120899</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其他国有土地使用权出让收入安排的支出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134.12</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134.12</w:t>
            </w:r>
          </w:p>
        </w:tc>
      </w:tr>
    </w:tbl>
    <w:p>
      <w:pPr>
        <w:spacing w:before="25" w:after="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注：本表反映本年度政府性基金预算财政拨款支出情况。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default" w:ascii="仿宋" w:hAnsi="仿宋" w:eastAsia="仿宋" w:cs="仿宋"/>
          <w:b w:val="0"/>
          <w:bCs w:val="0"/>
          <w:sz w:val="22"/>
          <w:szCs w:val="22"/>
          <w:lang w:val="en-US" w:eastAsia="zh-CN"/>
        </w:rPr>
        <w:sectPr>
          <w:footerReference r:id="rId17"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国有资本经营预算支出决算表</w:t>
            </w:r>
          </w:p>
        </w:tc>
      </w:tr>
      <w:tr>
        <w:tblPrEx>
          <w:tblCellMar>
            <w:top w:w="55" w:type="dxa"/>
            <w:left w:w="55" w:type="dxa"/>
            <w:bottom w:w="55" w:type="dxa"/>
            <w:right w:w="55" w:type="dxa"/>
          </w:tblCellMar>
        </w:tblPrEx>
        <w:trPr>
          <w:trHeight w:val="323" w:hRule="atLeast"/>
        </w:trPr>
        <w:tc>
          <w:tcPr>
            <w:tcW w:w="8520" w:type="dxa"/>
            <w:gridSpan w:val="2"/>
          </w:tcPr>
          <w:p>
            <w:pPr>
              <w:pStyle w:val="22"/>
              <w:widowControl w:val="0"/>
              <w:rPr>
                <w:rFonts w:hint="eastAsia" w:ascii="仿宋" w:hAnsi="仿宋" w:eastAsia="仿宋" w:cs="仿宋"/>
                <w:sz w:val="20"/>
              </w:rPr>
            </w:pPr>
          </w:p>
        </w:tc>
        <w:tc>
          <w:tcPr>
            <w:tcW w:w="2510" w:type="dxa"/>
          </w:tcPr>
          <w:p>
            <w:pPr>
              <w:pStyle w:val="22"/>
              <w:widowControl w:val="0"/>
              <w:rPr>
                <w:rFonts w:hint="eastAsia" w:ascii="仿宋" w:hAnsi="仿宋" w:eastAsia="仿宋" w:cs="仿宋"/>
                <w:sz w:val="27"/>
              </w:rPr>
            </w:pPr>
          </w:p>
        </w:tc>
        <w:tc>
          <w:tcPr>
            <w:tcW w:w="2309" w:type="dxa"/>
          </w:tcPr>
          <w:p>
            <w:pPr>
              <w:pStyle w:val="22"/>
              <w:widowControl w:val="0"/>
              <w:rPr>
                <w:rFonts w:hint="eastAsia" w:ascii="仿宋" w:hAnsi="仿宋" w:eastAsia="仿宋" w:cs="仿宋"/>
                <w:sz w:val="20"/>
              </w:rPr>
            </w:pP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eastAsia="zh-CN"/>
              </w:rPr>
              <w:t>1</w:t>
            </w:r>
            <w:r>
              <w:rPr>
                <w:rFonts w:hint="eastAsia" w:ascii="仿宋" w:hAnsi="仿宋" w:eastAsia="仿宋" w:cs="仿宋"/>
              </w:rPr>
              <w:t>表</w:t>
            </w:r>
          </w:p>
        </w:tc>
      </w:tr>
      <w:tr>
        <w:tblPrEx>
          <w:tblCellMar>
            <w:top w:w="55" w:type="dxa"/>
            <w:left w:w="55" w:type="dxa"/>
            <w:bottom w:w="55" w:type="dxa"/>
            <w:right w:w="55" w:type="dxa"/>
          </w:tblCellMar>
        </w:tblPrEx>
        <w:trPr>
          <w:trHeight w:val="152" w:hRule="atLeast"/>
        </w:trPr>
        <w:tc>
          <w:tcPr>
            <w:tcW w:w="13339"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溧阳市应急管理局</w:t>
            </w: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30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2</w:t>
            </w:r>
          </w:p>
        </w:tc>
      </w:tr>
      <w:tr>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30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61"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bl>
    <w:p>
      <w:pPr>
        <w:bidi w:val="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
      </w:r>
      <w:r>
        <w:rPr>
          <w:rFonts w:ascii="仿宋" w:hAnsi="仿宋" w:cs="仿宋" w:eastAsia="仿宋"/>
          <w:sz w:val="22"/>
        </w:rPr>
        <w:t>本</w:t>
      </w:r>
      <w:r>
        <w:rPr>
          <w:rFonts w:ascii="仿宋" w:hAnsi="仿宋" w:cs="仿宋" w:eastAsia="仿宋"/>
          <w:sz w:val="22"/>
        </w:rPr>
        <w:t>部门</w:t>
      </w:r>
      <w:r>
        <w:rPr>
          <w:rFonts w:ascii="仿宋" w:hAnsi="仿宋" w:cs="仿宋" w:eastAsia="仿宋"/>
          <w:sz w:val="22"/>
        </w:rPr>
        <w:t>无</w:t>
      </w:r>
      <w:r>
        <w:rPr>
          <w:rFonts w:hint="eastAsia" w:ascii="仿宋" w:hAnsi="仿宋" w:eastAsia="仿宋" w:cs="仿宋"/>
          <w:b w:val="0"/>
          <w:bCs w:val="0"/>
          <w:sz w:val="22"/>
          <w:szCs w:val="22"/>
        </w:rPr>
        <w:t>国有资本经营预算支出</w:t>
      </w:r>
      <w:r>
        <w:rPr>
          <w:rFonts w:hint="eastAsia" w:ascii="仿宋" w:hAnsi="仿宋" w:eastAsia="仿宋" w:cs="仿宋"/>
          <w:b w:val="0"/>
          <w:bCs w:val="0"/>
          <w:sz w:val="22"/>
          <w:szCs w:val="22"/>
          <w:lang w:val="en-US" w:eastAsia="zh-CN"/>
        </w:rPr>
        <w:t>决算，故本表为空。</w:t>
      </w:r>
      <w:r>
        <w:rPr>
          <w:rFonts w:ascii="仿宋" w:hAnsi="仿宋" w:cs="仿宋" w:eastAsia="仿宋"/>
          <w:sz w:val="22"/>
        </w:rPr>
        <w:t/>
      </w:r>
    </w:p>
    <w:p>
      <w:pPr>
        <w:spacing w:before="25" w:after="0"/>
        <w:ind w:left="-220" w:leftChars="-100" w:firstLine="0" w:firstLineChars="0"/>
        <w:jc w:val="both"/>
        <w:rPr>
          <w:rFonts w:hint="default" w:ascii="仿宋" w:hAnsi="仿宋" w:eastAsia="仿宋" w:cs="仿宋"/>
          <w:b w:val="0"/>
          <w:bCs w:val="0"/>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tblPrEx>
          <w:tblCellMar>
            <w:top w:w="55" w:type="dxa"/>
            <w:left w:w="55" w:type="dxa"/>
            <w:bottom w:w="55" w:type="dxa"/>
            <w:right w:w="55" w:type="dxa"/>
          </w:tblCellMar>
        </w:tblPrEx>
        <w:trPr>
          <w:trHeight w:val="319" w:hRule="atLeast"/>
        </w:trPr>
        <w:tc>
          <w:tcPr>
            <w:tcW w:w="10466" w:type="dxa"/>
            <w:gridSpan w:val="3"/>
          </w:tcPr>
          <w:p>
            <w:pPr>
              <w:pStyle w:val="22"/>
              <w:widowControl w:val="0"/>
              <w:tabs>
                <w:tab w:val="left" w:pos="610"/>
              </w:tabs>
              <w:spacing w:before="28" w:after="0"/>
              <w:ind w:left="8" w:firstLine="0"/>
              <w:jc w:val="center"/>
              <w:rPr>
                <w:rFonts w:hint="eastAsia" w:ascii="仿宋" w:hAnsi="仿宋" w:eastAsia="仿宋" w:cs="仿宋"/>
                <w:b/>
                <w:bCs/>
                <w:sz w:val="44"/>
                <w:szCs w:val="44"/>
              </w:rPr>
            </w:pPr>
            <w:r>
              <w:rPr>
                <w:rFonts w:hint="eastAsia" w:cs="宋体"/>
                <w:b/>
                <w:bCs/>
                <w:color w:val="000000"/>
                <w:kern w:val="0"/>
                <w:sz w:val="36"/>
                <w:szCs w:val="36"/>
                <w:lang w:val="en-US" w:eastAsia="ar-SA" w:bidi="zh-CN"/>
              </w:rPr>
              <w:t>财政拨款</w:t>
            </w:r>
            <w:r>
              <w:rPr>
                <w:rFonts w:hint="eastAsia" w:ascii="宋体" w:hAnsi="宋体" w:eastAsia="宋体" w:cs="宋体"/>
                <w:b/>
                <w:bCs/>
                <w:color w:val="000000"/>
                <w:kern w:val="0"/>
                <w:sz w:val="36"/>
                <w:szCs w:val="36"/>
                <w:lang w:val="zh-CN" w:eastAsia="ar-SA" w:bidi="zh-CN"/>
              </w:rPr>
              <w:t>机关运行经费支出决算表</w:t>
            </w:r>
          </w:p>
        </w:tc>
      </w:tr>
      <w:tr>
        <w:tblPrEx>
          <w:tblCellMar>
            <w:top w:w="55" w:type="dxa"/>
            <w:left w:w="55" w:type="dxa"/>
            <w:bottom w:w="55" w:type="dxa"/>
            <w:right w:w="55" w:type="dxa"/>
          </w:tblCellMar>
        </w:tblPrEx>
        <w:trPr>
          <w:trHeight w:val="90" w:hRule="atLeast"/>
        </w:trPr>
        <w:tc>
          <w:tcPr>
            <w:tcW w:w="6632" w:type="dxa"/>
            <w:gridSpan w:val="2"/>
          </w:tcPr>
          <w:p>
            <w:pPr>
              <w:pStyle w:val="22"/>
              <w:widowControl w:val="0"/>
              <w:rPr>
                <w:rFonts w:hint="eastAsia" w:ascii="仿宋" w:hAnsi="仿宋" w:eastAsia="仿宋" w:cs="仿宋"/>
                <w:sz w:val="20"/>
              </w:rPr>
            </w:pPr>
          </w:p>
        </w:tc>
        <w:tc>
          <w:tcPr>
            <w:tcW w:w="3834"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6632" w:type="dxa"/>
            <w:gridSpan w:val="2"/>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溧阳市应急管理局</w:t>
            </w:r>
          </w:p>
        </w:tc>
        <w:tc>
          <w:tcPr>
            <w:tcW w:w="3834"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机关运行经费支出决算</w:t>
            </w:r>
          </w:p>
        </w:tc>
      </w:tr>
      <w:tr>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834"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834"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115.84</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115.84</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16.75</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0.18</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0.02</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0.47</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0.24</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0.42</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2.58</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5.73</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0.57</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10.96</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0.66</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51.10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26.15</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bl>
    <w:p>
      <w:pPr>
        <w:spacing w:before="25" w:after="0"/>
        <w:ind w:left="0" w:leftChars="0" w:right="-92" w:rightChars="-42"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注：“机关运行经费” 指行政单位（含参照公务员法管理的事业单位）使用</w:t>
      </w:r>
      <w:r>
        <w:rPr>
          <w:rFonts w:hint="eastAsia" w:ascii="仿宋" w:hAnsi="仿宋" w:eastAsia="仿宋" w:cs="仿宋"/>
          <w:b w:val="0"/>
          <w:bCs w:val="0"/>
          <w:sz w:val="22"/>
          <w:szCs w:val="22"/>
          <w:lang w:val="en-US" w:eastAsia="zh-CN"/>
        </w:rPr>
        <w:t>财政拨款</w:t>
      </w:r>
      <w:r>
        <w:rPr>
          <w:rFonts w:hint="eastAsia" w:ascii="仿宋" w:hAnsi="仿宋" w:eastAsia="仿宋" w:cs="仿宋"/>
          <w:b w:val="0"/>
          <w:bCs w:val="0"/>
          <w:sz w:val="22"/>
          <w:szCs w:val="22"/>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lang w:val="en-US" w:eastAsia="zh-CN"/>
        </w:rPr>
        <w:sectPr>
          <w:footerReference r:id="rId18" w:type="default"/>
          <w:type w:val="continuous"/>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tblPrEx>
          <w:tblCellMar>
            <w:top w:w="55" w:type="dxa"/>
            <w:left w:w="55" w:type="dxa"/>
            <w:bottom w:w="55" w:type="dxa"/>
            <w:right w:w="55" w:type="dxa"/>
          </w:tblCellMar>
        </w:tblPrEx>
        <w:trPr>
          <w:trHeight w:val="333" w:hRule="atLeast"/>
        </w:trPr>
        <w:tc>
          <w:tcPr>
            <w:tcW w:w="10459" w:type="dxa"/>
            <w:gridSpan w:val="4"/>
            <w:vAlign w:val="center"/>
          </w:tcPr>
          <w:p>
            <w:pPr>
              <w:pStyle w:val="22"/>
              <w:widowControl w:val="0"/>
              <w:bidi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政府采购支出决算表</w:t>
            </w:r>
          </w:p>
        </w:tc>
      </w:tr>
      <w:tr>
        <w:tblPrEx>
          <w:tblCellMar>
            <w:top w:w="55" w:type="dxa"/>
            <w:left w:w="55" w:type="dxa"/>
            <w:bottom w:w="55" w:type="dxa"/>
            <w:right w:w="55" w:type="dxa"/>
          </w:tblCellMar>
        </w:tblPrEx>
        <w:trPr>
          <w:trHeight w:val="333" w:hRule="atLeast"/>
        </w:trPr>
        <w:tc>
          <w:tcPr>
            <w:tcW w:w="4472" w:type="dxa"/>
          </w:tcPr>
          <w:p>
            <w:pPr>
              <w:pStyle w:val="22"/>
              <w:widowControl w:val="0"/>
              <w:bidi w:val="0"/>
              <w:rPr>
                <w:rFonts w:hint="eastAsia" w:ascii="仿宋" w:hAnsi="仿宋" w:eastAsia="仿宋" w:cs="仿宋"/>
              </w:rPr>
            </w:pPr>
          </w:p>
        </w:tc>
        <w:tc>
          <w:tcPr>
            <w:tcW w:w="722" w:type="dxa"/>
          </w:tcPr>
          <w:p>
            <w:pPr>
              <w:pStyle w:val="22"/>
              <w:widowControl w:val="0"/>
              <w:rPr>
                <w:rFonts w:hint="eastAsia" w:ascii="仿宋" w:hAnsi="仿宋" w:eastAsia="仿宋" w:cs="仿宋"/>
              </w:rPr>
            </w:pPr>
          </w:p>
        </w:tc>
        <w:tc>
          <w:tcPr>
            <w:tcW w:w="1992" w:type="dxa"/>
          </w:tcPr>
          <w:p>
            <w:pPr>
              <w:pStyle w:val="22"/>
              <w:widowControl w:val="0"/>
              <w:rPr>
                <w:rFonts w:hint="eastAsia" w:ascii="仿宋" w:hAnsi="仿宋" w:eastAsia="仿宋" w:cs="仿宋"/>
              </w:rPr>
            </w:pP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7186" w:type="dxa"/>
            <w:gridSpan w:val="3"/>
          </w:tcPr>
          <w:p>
            <w:pPr>
              <w:pStyle w:val="22"/>
              <w:widowControl w:val="0"/>
              <w:bidi w:val="0"/>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溧阳市应急管理局</w:t>
            </w: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pPr>
              <w:pStyle w:val="22"/>
              <w:widowControl w:val="0"/>
              <w:bidi w:val="0"/>
              <w:jc w:val="center"/>
              <w:rPr>
                <w:rFonts w:hint="eastAsia" w:ascii="仿宋" w:hAnsi="仿宋" w:eastAsia="仿宋" w:cs="仿宋"/>
                <w:lang w:val="en-US" w:eastAsia="zh-CN"/>
              </w:rPr>
            </w:pPr>
            <w:r>
              <w:rPr>
                <w:rFonts w:hint="eastAsia" w:ascii="仿宋" w:hAnsi="仿宋" w:eastAsia="仿宋" w:cs="仿宋"/>
                <w:lang w:val="en-US" w:eastAsia="zh-CN"/>
              </w:rPr>
              <w:t/>
            </w:r>
            <w:r>
              <w:rPr>
                <w:rFonts w:ascii="仿宋" w:hAnsi="仿宋" w:cs="仿宋" w:eastAsia="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74.11</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74.11</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bidi w:val="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政府采购支出信息为单位纳入部门预算范围的各项政府采购支出情况。</w:t>
      </w:r>
      <w:r>
        <w:rPr>
          <w:rFonts w:ascii="仿宋" w:hAnsi="仿宋" w:cs="仿宋" w:eastAsia="仿宋"/>
          <w:sz w:val="22"/>
        </w:rPr>
        <w:t/>
      </w:r>
      <w:r>
        <w:rPr>
          <w:rFonts w:hint="eastAsia" w:ascii="仿宋" w:hAnsi="仿宋" w:eastAsia="仿宋" w:cs="仿宋"/>
          <w:b w:val="0"/>
          <w:bCs w:val="0"/>
          <w:sz w:val="22"/>
          <w:szCs w:val="22"/>
          <w:lang w:val="en-US" w:eastAsia="zh-CN"/>
        </w:rPr>
        <w:t>本表金额单位转换时可能存在尾数误差</w:t>
      </w:r>
      <w:r>
        <w:rPr>
          <w:rFonts w:hint="eastAsia" w:ascii="仿宋" w:hAnsi="仿宋" w:eastAsia="仿宋" w:cs="仿宋"/>
          <w:b w:val="0"/>
          <w:bCs w:val="0"/>
          <w:sz w:val="22"/>
          <w:szCs w:val="22"/>
        </w:rPr>
        <w:t>。</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eastAsia" w:ascii="仿宋" w:hAnsi="仿宋" w:eastAsia="仿宋" w:cs="仿宋"/>
          <w:b w:val="0"/>
          <w:bCs w:val="0"/>
          <w:sz w:val="22"/>
          <w:szCs w:val="22"/>
        </w:rPr>
        <w:sectPr>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outlineLvl w:val="0"/>
        <w:rPr>
          <w:rFonts w:hint="eastAsia" w:ascii="宋体" w:hAnsi="宋体" w:eastAsia="宋体" w:cs="宋体"/>
          <w:b/>
          <w:bCs/>
          <w:color w:val="000000"/>
          <w:kern w:val="0"/>
          <w:sz w:val="36"/>
          <w:szCs w:val="36"/>
          <w:lang w:val="zh-CN" w:eastAsia="ar-SA" w:bidi="zh-CN"/>
        </w:rPr>
      </w:pPr>
      <w:r>
        <w:rPr>
          <w:rFonts w:hint="eastAsia" w:ascii="宋体" w:hAnsi="宋体" w:eastAsia="宋体" w:cs="宋体"/>
          <w:b/>
          <w:bCs/>
          <w:color w:val="000000"/>
          <w:kern w:val="0"/>
          <w:sz w:val="36"/>
          <w:szCs w:val="36"/>
          <w:lang w:val="zh-CN" w:eastAsia="ar-SA" w:bidi="zh-CN"/>
        </w:rPr>
        <w:t>第三部分</w:t>
      </w:r>
      <w:r>
        <w:rPr>
          <w:rFonts w:hint="eastAsia" w:ascii="宋体" w:hAnsi="宋体" w:eastAsia="宋体" w:cs="宋体"/>
          <w:b/>
          <w:bCs/>
          <w:color w:val="000000"/>
          <w:kern w:val="0"/>
          <w:sz w:val="36"/>
          <w:szCs w:val="36"/>
          <w:lang w:val="en-US" w:eastAsia="zh-CN" w:bidi="zh-CN"/>
        </w:rPr>
        <w:t xml:space="preserve"> </w:t>
      </w:r>
      <w:r>
        <w:rPr>
          <w:rFonts w:hint="eastAsia" w:ascii="宋体" w:hAnsi="宋体" w:eastAsia="宋体" w:cs="宋体"/>
          <w:b/>
          <w:bCs/>
          <w:color w:val="000000"/>
          <w:kern w:val="0"/>
          <w:sz w:val="36"/>
          <w:szCs w:val="36"/>
          <w:lang w:val="zh-CN" w:eastAsia="zh-CN" w:bidi="zh-CN"/>
        </w:rPr>
        <w:t>202</w:t>
      </w:r>
      <w:r>
        <w:rPr>
          <w:rFonts w:hint="eastAsia" w:ascii="宋体" w:hAnsi="宋体" w:eastAsia="宋体" w:cs="宋体"/>
          <w:b/>
          <w:bCs/>
          <w:color w:val="000000"/>
          <w:kern w:val="0"/>
          <w:sz w:val="36"/>
          <w:szCs w:val="36"/>
          <w:lang w:val="en-US" w:eastAsia="zh-CN" w:bidi="zh-CN"/>
        </w:rPr>
        <w:t>3</w:t>
      </w:r>
      <w:r>
        <w:rPr>
          <w:rFonts w:hint="eastAsia" w:ascii="宋体" w:hAnsi="宋体" w:eastAsia="宋体" w:cs="宋体"/>
          <w:b/>
          <w:bCs/>
          <w:color w:val="000000"/>
          <w:kern w:val="0"/>
          <w:sz w:val="36"/>
          <w:szCs w:val="36"/>
          <w:lang w:val="zh-CN" w:eastAsia="ar-SA" w:bidi="zh-CN"/>
        </w:rPr>
        <w:t>年度</w:t>
      </w:r>
      <w:r>
        <w:rPr>
          <w:rFonts w:ascii="宋体" w:hAnsi="宋体" w:cs="宋体" w:eastAsia="宋体"/>
          <w:b w:val="true"/>
          <w:color w:val="000000"/>
          <w:sz w:val="36"/>
        </w:rPr>
        <w:t>部门</w:t>
      </w:r>
      <w:r>
        <w:rPr>
          <w:rFonts w:ascii="宋体" w:hAnsi="宋体" w:cs="宋体" w:eastAsia="宋体"/>
          <w:b w:val="true"/>
          <w:color w:val="000000"/>
          <w:sz w:val="36"/>
        </w:rPr>
        <w:t>决算情况说明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2023年度收入、支出决算总计3,165.08万元。与上年相比，收、支总计各增加850.7万元，增长36.76%。其中：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（一）收入决算总计3,165.08万元。包括：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1.本年收入决算合计3,165.08万元。与上年相比，增加850.7万元，增长36.76%，变动原因：机构改革进一步到位，人员经费、项目经费增加。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2.使用非财政拨款结余0万元。与上年决算数相同。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3.年初结转和结余0万元。与上年决算数相同。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（二）支出决算总计3,165.08万元。包括：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1.本年支出决算合计3,165.08万元。与上年相比，增加850.7万元，增长36.76%，变动原因：机构改革进一步到位，人员经费、项目经费增加。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2.结余分配0万元。与上年决算数相同。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3.年末结转和结余0万元。与上年决算数相同。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本年收入决算合计3,165.08万元，其中：财政拨款收入3,165.08万元，占100%；上级补助收入0万元，占0%；财政专户管理教育收费0万元，占0%；事业收入（不含专户管理教育收费）0万元，占0%；经营收入0万元，占0%；附属单位上缴收入0万元，占0%；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2"/>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2023年度本年支出决算合计3,165.08万元，其中：基本支出1,809.32万元，占57.17%；项目支出1,355.76万元，占42.83%；上缴上级支出0万元，占0%；经营支出0万元，占0%；对附属单位补助支出0万元，占0%。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3"/>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2023年度财政拨款收入、支出决算总计3,165.08万元。与上年相比，收、支总计各增加850.7万元，增长36.76%，变动原因：机构改革进一步到位，人员经费、项目经费增加。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2023年度财政拨款支出决算3,165.08万元，占本年支出合计的100%。与2023年度财政拨款支出年初预算1,945.99万元相比，完成年初预算的162.65%。其中：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（一）城乡社区支出（类）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国有土地使用权出让收入安排的支出（款）其他国有土地使用权出让收入安排的支出（项）。年初预算0万元，支出决算134.12万元，（年初预算数为0万元，无法计算完成比率）决算数与年初预算数的差异原因：指挥中心尾款结算结转上年指标。</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1.住房改革支出（款）住房公积金（项）。年初预算169.49万元，支出决算212.7万元，完成年初预算的125.49%。决算数与年初预算数的差异原因：转正人员及退休人员公积金及住房补贴基数调增。</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2.住房改革支出（款）提租补贴（项）。年初预算135.15万元，支出决算138.57万元，完成年初预算的102.53%。决算数与年初预算数的差异原因：转正人员及退休人员公积金及住房补贴基数调增。</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（三）灾害防治及应急管理支出（类）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1.应急管理事务（款）行政运行（项）。年初预算959.19万元，支出决算1,458.04万元，完成年初预算的152.01%。决算数与年初预算数的差异原因：年内追加目标考核等人员经费。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2.应急管理事务（款）一般行政管理事务（项）。年初预算43万元，支出决算61.5万元，完成年初预算的143.02%。决算数与年初预算数的差异原因：追加项目经费。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应急管理事务（款）灾害风险防治（项）。年初预算183.16万元，支出决算174.5万元，完成年初预算的95.27%。决算数与年初预算数的差异原因：自然灾害公众责任保险中标价低于按全省框架协议价格测算的年初预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4.应急管理事务（款）安全监管（项）。年初预算275万元，支出决算690.66万元，完成年初预算的251.15%。决算数与年初预算数的差异原因：追加项目经费。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5.应急管理事务（款）应急救援（项）。年初预算65万元，支出决算65万元，完成年初预算的100%。决算数与年初预算数相同。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6.应急管理事务（款）应急管理（项）。年初预算116万元，支出决算115.99万元，完成年初预算的99.99%。决算数与年初预算数的差异原因：按实际产生金额付款。</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7.应急管理事务（款）其他应急管理支出（项）。年初预算0万元，支出决算13万元，（年初预算数为0万元，无法计算完成比率）决算数与年初预算数的差异原因：追加上级资金。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8.自然灾害防治（款）其他自然灾害防治支出（项）。年初预算0万元，支出决算1万元，（年初预算数为0万元，无法计算完成比率）决算数与年初预算数的差异原因：追加上级资金。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9.自然灾害救灾及恢复重建支出（款）其他自然灾害救灾及恢复重建支出（项）。年初预算0万元，支出决算100万元，（年初预算数为0万元，无法计算完成比率）决算数与年初预算数的差异原因：追加上级资金。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2023年度财政拨款基本支出决算1,809.32万元，其中：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（一）人员经费1,693.48万元。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奖金、机关事业单位基本养老保险缴费、职业年金缴费、职工基本医疗保险缴费、公务员医疗补助缴费、其他社会保障缴费、住房公积金、退休费、抚恤金、其他对个人和家庭的补助。</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（二）公用经费115.84万元。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主要包括：办公费、印刷费、手续费、电费、邮电费、物业管理费、因公出国（境）费用、公务接待费、委托业务费、工会经费、公务用车运行维护费、其他交通费用、其他商品和服务支出。</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2023年度一般公共预算财政拨款支出决算3,030.96万元。与上年相比，增加723.63万元，增长31.36%，变动原因：机构改革进一步到位，人员经费、项目经费增加。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2023年度一般公共预算财政拨款基本支出决算1,809.32万元，其中：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（一）人员经费1,693.48万元。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奖金、机关事业单位基本养老保险缴费、职业年金缴费、职工基本医疗保险缴费、公务员医疗补助缴费、其他社会保障缴费、住房公积金、退休费、抚恤金、其他对个人和家庭的补助。</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（二）公用经费115.84万元。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主要包括：办公费、印刷费、手续费、电费、邮电费、物业管理费、因公出国（境）费用、公务接待费、委托业务费、工会经费、公务用车运行维护费、其他交通费用、其他商品和服务支出。</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九、财政拨款“三公”经费、会议费、培训费支出情况说明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（一）财政拨款“三公”经费支出总体情况说明。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财政拨款“三公”经费支出决算10.61万元（其中：一般公共预算支出10.61万元；政府性基金预算支出0万元；国有资本经营预算支出0万元）。与上年相比，增加2.28万元，变动原因：新增公务出国。其中，因公出国（境）费支出2.58万元，占“三公”经费的24.32%；公务用车购置及运行维护费支出0.66万元，占“三公”经费的6.22%；公务接待费支出7.37万元，占“三公”经费的69.46%。2023年度财政拨款“三公”经费支出预算10.61万元（其中：一般公共预算支出10.61万元；政府性基金预算支出0万元；国有资本经营预算支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（二）财政拨款“三公”经费支出具体情况说明。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支出预算2.58万元（其中：一般公共预算支出2.58万元；政府性基金预算支出0万元；国有资本经营预算支出0万元），支出决算2.58万元（其中：一般公共预算支出2.58万元；政府性基金预算支出0万元；国有资本经营预算支出0万元），完成调整后预算的100%，决算数与预算数相同。全年使用财政拨款涉及的出国（境）团组0个，累计1人次。开支内容：出国考察。</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支出预算0.66万元（其中：一般公共预算支出0.66万元；政府性基金预算支出0万元；国有资本经营预算支出0万元），支出决算0.66万元（其中：一般公共预算支出0.66万元；政府性基金预算支出0万元；国有资本经营预算支出0万元），完成调整后预算的100%，决算数与预算数相同。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（1）公务用车购置支出决算0万元。本年度使用财政拨款购置公务用车0辆。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支出决算0.66万元。公务用车运行维护费主要用于按规定保留的公务用车的燃料费、维修费、过桥过路费、保险费、安全奖励费用等支出。截至2023年12月31日，使用财政拨款开支的公务用车保有量为1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支出预算7.37万元（其中：一般公共预算支出7.37万元；政府性基金预算支出0万元；国有资本经营预算支出0万元），支出决算7.37万元（其中：一般公共预算支出7.37万元；政府性基金预算支出0万元；国有资本经营预算支出0万元），完成调整后预算的100%，决算数与预算数相同。其中：国内公务接待支出7.37万元，接待30批次，521人次，开支内容：公务接待；国（境）外公务接待支出0万元，接待0批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（三）财政拨款会议费支出决算情况说明。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财政拨款会议费支出预算2.91万元（其中：一般公共预算支出2.91万元；政府性基金预算支出0万元；国有资本经营预算支出0万元），支出决算2.91万元（其中：一般公共预算支出2.91万元；政府性基金预算支出0万元；国有资本经营预算支出0万元），完成调整后预算的100%，决算数与预算数相同。2023年度全年召开会议15个，参加会议120人次，开支内容：安全生产、应急管理会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（四）财政拨款培训费支出决算情况说明。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财政拨款培训费支出预算46.9万元（其中：一般公共预算支出46.9万元；政府性基金预算支出0万元；国有资本经营预算支出0万元），支出决算46.9万元（其中：一般公共预算支出46.9万元；政府性基金预算支出0万元；国有资本经营预算支出0万元），完成调整后预算的100%，决算数与预算数相同。2023年度全年组织培训6个，组织培训300人次，开支内容：安全生产、应急管理培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2023年度政府性基金预算财政拨款支出决算134.12万元。与上年相比，增加127.07万元，增长1,802.41%，变动原因：指挥中心项目尾款结算。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2023年度国有资本经营预算财政拨款支出决算0万元。与上年决算数相同。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十二、财政拨款机关运行经费支出决算情况说明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2023年度机关运行经费支出决算115.84万元（其中：一般公共预算支出115.84万元；政府性基金预算支出0万元；国有资本经营预算支出0万元）。与上年相比，增加3.17万元，增长2.81%，变动原因：人员变动。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政府采购支出总额74.11万元，其中：政府采购货物支出74.11万元、政府采购工程支出0万元、政府采购服务支出0万元。政府采购授予中小企业合同金额0万元，占政府采购支出总额的0%，其中：授予小微企业合同金额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截至2023年12月31日，本部门共有车辆1辆，其中：副部(省)级及以上领导用车0辆、主要领导干部用车0辆、机要通信用车0辆、应急保障用车1辆、执法执勤用车0辆、特种专业技术用车0辆、离退休干部用车0辆、其他用车0辆；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十五、预算绩效评价工作开展情况</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2023年度，本部门共0个项目开展了财政重点绩效评价，涉及财政性资金合计0万元；本部门未开展部门整体支出财政重点绩效评价，涉及财政性资金0万元。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本部门组织所属单位共对2023年度已实施完成的8个项目开展了绩效自评价，涉及财政性资金合计664.18万元；本部门组织所属单位共开展2项单位整体支出绩效自评价，涉及财政性资金合计3,165.08万元。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本部门共1个项目开展了部门评价，涉及财政性资金合计60万元；本部门未开展部门整体支出部门评价，涉及财政性资金0万元。</w:t>
      </w:r>
      <w:r>
        <w:rPr>
          <w:rFonts w:ascii="仿宋" w:hAnsi="仿宋" w:cs="仿宋" w:eastAsia="仿宋"/>
        </w:rPr>
        <w:t/>
      </w:r>
    </w:p>
    <w:p>
      <w:pPr>
        <w:pStyle w:val="5"/>
        <w:tabs>
          <w:tab w:val="left" w:pos="3077"/>
        </w:tabs>
        <w:spacing w:line="616" w:lineRule="exact"/>
        <w:jc w:val="center"/>
        <w:outlineLvl w:val="0"/>
        <w:rPr>
          <w:rFonts w:hint="eastAsia" w:ascii="宋体" w:hAnsi="宋体" w:eastAsia="宋体" w:cs="宋体"/>
          <w:b/>
          <w:bCs/>
          <w:sz w:val="36"/>
          <w:szCs w:val="36"/>
        </w:rPr>
      </w:pPr>
      <w:r>
        <w:rPr>
          <w:rFonts w:hint="eastAsia" w:ascii="宋体" w:hAnsi="宋体" w:eastAsia="宋体" w:cs="宋体"/>
          <w:b/>
          <w:bCs/>
          <w:sz w:val="36"/>
          <w:szCs w:val="36"/>
        </w:rPr>
        <w:t>第四部分 名词</w:t>
      </w:r>
      <w:r>
        <w:rPr>
          <w:rFonts w:hint="eastAsia" w:ascii="宋体" w:hAnsi="宋体" w:eastAsia="宋体" w:cs="宋体"/>
          <w:b/>
          <w:bCs/>
          <w:color w:val="000000"/>
          <w:kern w:val="0"/>
          <w:sz w:val="36"/>
          <w:szCs w:val="36"/>
          <w:lang w:val="zh-CN" w:eastAsia="ar-SA" w:bidi="zh-CN"/>
        </w:rPr>
        <w:t>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一、财政拨款收入</w:t>
      </w:r>
      <w:r>
        <w:rPr>
          <w:rFonts w:ascii="仿宋" w:hAnsi="仿宋" w:cs="仿宋" w:eastAsia="仿宋"/>
          <w:b w:val="true"/>
        </w:rPr>
        <w:t>：</w:t>
      </w:r>
      <w:r>
        <w:rPr>
          <w:rFonts w:hint="eastAsia" w:ascii="仿宋" w:hAnsi="仿宋" w:eastAsia="仿宋" w:cs="仿宋"/>
        </w:rPr>
        <w:t>指单位从同级财政部门取得的各类财政拨款，包括一般公共预算财政拨款、政府性基金预算财政拨款、国有资本经营预算财政拨款。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二、上级补助收入</w:t>
      </w:r>
      <w:r>
        <w:rPr>
          <w:rFonts w:ascii="仿宋" w:hAnsi="仿宋" w:cs="仿宋" w:eastAsia="仿宋"/>
          <w:b w:val="true"/>
        </w:rPr>
        <w:t>：</w:t>
      </w:r>
      <w:r>
        <w:rPr>
          <w:rFonts w:hint="eastAsia" w:ascii="仿宋" w:hAnsi="仿宋" w:eastAsia="仿宋" w:cs="仿宋"/>
        </w:rPr>
        <w:t>指事业单位从主管部门和上级单位取得的非财政补助收入。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三、财政专户管理教育收费</w:t>
      </w:r>
      <w:r>
        <w:rPr>
          <w:rFonts w:ascii="仿宋" w:hAnsi="仿宋" w:cs="仿宋" w:eastAsia="仿宋"/>
          <w:b w:val="true"/>
        </w:rPr>
        <w:t>：</w:t>
      </w:r>
      <w:r>
        <w:rPr>
          <w:rFonts w:hint="eastAsia" w:ascii="仿宋" w:hAnsi="仿宋" w:eastAsia="仿宋" w:cs="仿宋"/>
        </w:rPr>
        <w:t>指缴入财政专户、实行专项管理的高中以上学费、住宿费、高校委托培养费、函大、电大、夜大及短训班培训费等教育收费。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四、事业收入</w:t>
      </w:r>
      <w:r>
        <w:rPr>
          <w:rFonts w:ascii="仿宋" w:hAnsi="仿宋" w:cs="仿宋" w:eastAsia="仿宋"/>
          <w:b w:val="true"/>
        </w:rPr>
        <w:t>：</w:t>
      </w:r>
      <w:r>
        <w:rPr>
          <w:rFonts w:hint="eastAsia" w:ascii="仿宋" w:hAnsi="仿宋" w:eastAsia="仿宋" w:cs="仿宋"/>
        </w:rPr>
        <w:t>指事业单位开展专业业务活动及其辅助活动取得的收入。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五、经营收入</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六、附属单位上缴收入</w:t>
      </w:r>
      <w:r>
        <w:rPr>
          <w:rFonts w:ascii="仿宋" w:hAnsi="仿宋" w:cs="仿宋" w:eastAsia="仿宋"/>
          <w:b w:val="true"/>
        </w:rPr>
        <w:t>：</w:t>
      </w:r>
      <w:r>
        <w:rPr>
          <w:rFonts w:hint="eastAsia" w:ascii="仿宋" w:hAnsi="仿宋" w:eastAsia="仿宋" w:cs="仿宋"/>
        </w:rPr>
        <w:t>指事业单位附属独立核算单位按照有关规定上缴的收入。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七、其他收入</w:t>
      </w:r>
      <w:r>
        <w:rPr>
          <w:rFonts w:ascii="仿宋" w:hAnsi="仿宋" w:cs="仿宋" w:eastAsia="仿宋"/>
          <w:b w:val="true"/>
        </w:rPr>
        <w:t>：</w:t>
      </w:r>
      <w:r>
        <w:rPr>
          <w:rFonts w:hint="eastAsia" w:ascii="仿宋" w:hAnsi="仿宋" w:eastAsia="仿宋" w:cs="仿宋"/>
        </w:rPr>
        <w:t>指单位取得的除上述“财政拨款收入”、 “上级补助收入”、“事业收入”、“经营收入”、“附属单位上缴收入”等以外的各项收入。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八、使用非财政拨款结余</w:t>
      </w:r>
      <w:r>
        <w:rPr>
          <w:rFonts w:ascii="仿宋" w:hAnsi="仿宋" w:cs="仿宋" w:eastAsia="仿宋"/>
          <w:b w:val="true"/>
        </w:rPr>
        <w:t>：</w:t>
      </w:r>
      <w:r>
        <w:rPr>
          <w:rFonts w:hint="eastAsia" w:ascii="仿宋" w:hAnsi="仿宋" w:eastAsia="仿宋" w:cs="仿宋"/>
        </w:rPr>
        <w:t>指事业单位按照预算管理要求使用非财政拨款结余（原事业基金）弥补当年收支差额的数额。</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九、年初结转和结余</w:t>
      </w:r>
      <w:r>
        <w:rPr>
          <w:rFonts w:ascii="仿宋" w:hAnsi="仿宋" w:cs="仿宋" w:eastAsia="仿宋"/>
          <w:b w:val="true"/>
        </w:rPr>
        <w:t>：</w:t>
      </w:r>
      <w:r>
        <w:rPr>
          <w:rFonts w:hint="eastAsia" w:ascii="仿宋" w:hAnsi="仿宋" w:eastAsia="仿宋" w:cs="仿宋"/>
        </w:rPr>
        <w:t>指单位上年结转本年使用的基本支出结转、项目支出结转和结余、经营结余。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十、结余分配</w:t>
      </w:r>
      <w:r>
        <w:rPr>
          <w:rFonts w:ascii="仿宋" w:hAnsi="仿宋" w:cs="仿宋" w:eastAsia="仿宋"/>
          <w:b w:val="true"/>
        </w:rPr>
        <w:t>：</w:t>
      </w:r>
      <w:r>
        <w:rPr>
          <w:rFonts w:hint="eastAsia" w:ascii="仿宋" w:hAnsi="仿宋" w:eastAsia="仿宋" w:cs="仿宋"/>
        </w:rPr>
        <w:t>指事业单位按规定缴纳的所得税以及从非财政拨款结余中提取各类结余的情况。</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十一、年末结转和结余资金</w:t>
      </w:r>
      <w:r>
        <w:rPr>
          <w:rFonts w:ascii="仿宋" w:hAnsi="仿宋" w:cs="仿宋" w:eastAsia="仿宋"/>
          <w:b w:val="true"/>
        </w:rPr>
        <w:t>：</w:t>
      </w:r>
      <w:r>
        <w:rPr>
          <w:rFonts w:hint="eastAsia" w:ascii="仿宋" w:hAnsi="仿宋" w:eastAsia="仿宋" w:cs="仿宋"/>
        </w:rPr>
        <w:t>指单位结转下年的基本支出结转、项目支出结转和结余、经营结余。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十二、基本支出</w:t>
      </w:r>
      <w:r>
        <w:rPr>
          <w:rFonts w:ascii="仿宋" w:hAnsi="仿宋" w:cs="仿宋" w:eastAsia="仿宋"/>
          <w:b w:val="true"/>
        </w:rPr>
        <w:t>：</w:t>
      </w:r>
      <w:r>
        <w:rPr>
          <w:rFonts w:hint="eastAsia" w:ascii="仿宋" w:hAnsi="仿宋" w:eastAsia="仿宋" w:cs="仿宋"/>
        </w:rPr>
        <w:t>指为保障机构正常运转、完成日常工作任务所发生的支出，包括人员经费和公用经费。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十三、项目支出</w:t>
      </w:r>
      <w:r>
        <w:rPr>
          <w:rFonts w:ascii="仿宋" w:hAnsi="仿宋" w:cs="仿宋" w:eastAsia="仿宋"/>
          <w:b w:val="true"/>
        </w:rPr>
        <w:t>：</w:t>
      </w:r>
      <w:r>
        <w:rPr>
          <w:rFonts w:hint="eastAsia" w:ascii="仿宋" w:hAnsi="仿宋" w:eastAsia="仿宋" w:cs="仿宋"/>
        </w:rPr>
        <w:t>指在为完成特定的工作任务和事业发展目标所发生的支出。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十四、上缴上级支出</w:t>
      </w:r>
      <w:r>
        <w:rPr>
          <w:rFonts w:ascii="仿宋" w:hAnsi="仿宋" w:cs="仿宋" w:eastAsia="仿宋"/>
          <w:b w:val="true"/>
        </w:rPr>
        <w:t>：</w:t>
      </w:r>
      <w:r>
        <w:rPr>
          <w:rFonts w:hint="eastAsia" w:ascii="仿宋" w:hAnsi="仿宋" w:eastAsia="仿宋" w:cs="仿宋"/>
        </w:rPr>
        <w:t>指事业单位按照财政部门和主管部门的规定上缴上级单位的支出。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十五、经营支出</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十六、对附属单位补助支出</w:t>
      </w:r>
      <w:r>
        <w:rPr>
          <w:rFonts w:ascii="仿宋" w:hAnsi="仿宋" w:cs="仿宋" w:eastAsia="仿宋"/>
          <w:b w:val="true"/>
        </w:rPr>
        <w:t>：</w:t>
      </w:r>
      <w:r>
        <w:rPr>
          <w:rFonts w:hint="eastAsia" w:ascii="仿宋" w:hAnsi="仿宋" w:eastAsia="仿宋" w:cs="仿宋"/>
        </w:rPr>
        <w:t>指事业单位用财政拨款收入之外的收入对附属单位补助发生的支出。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十七、“三公”经费</w:t>
      </w:r>
      <w:r>
        <w:rPr>
          <w:rFonts w:ascii="仿宋" w:hAnsi="仿宋" w:cs="仿宋" w:eastAsia="仿宋"/>
          <w:b w:val="true"/>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十八、机关运行经费</w:t>
      </w:r>
      <w:r>
        <w:rPr>
          <w:rFonts w:ascii="仿宋" w:hAnsi="仿宋" w:cs="仿宋" w:eastAsia="仿宋"/>
          <w:b w:val="true"/>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十九、城乡社区支出(类)国有土地使用权出让收入安排的支出(款)其他国有土地使用权出让收入安排的支出(项)</w:t>
      </w:r>
      <w:r>
        <w:rPr>
          <w:rFonts w:ascii="仿宋" w:hAnsi="仿宋" w:cs="仿宋" w:eastAsia="仿宋"/>
          <w:b w:val="true"/>
        </w:rPr>
        <w:t>：</w:t>
      </w:r>
      <w:r>
        <w:rPr>
          <w:rFonts w:hint="eastAsia" w:ascii="仿宋" w:hAnsi="仿宋" w:eastAsia="仿宋" w:cs="仿宋"/>
        </w:rPr>
        <w:t>反映土地出让收入用于其他方面的支出。不包括市县级政府当年按规定用土地出让收入向中央和省级政府缴纳的新增建设用地土地有偿使用费的支出。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二十二、灾害防治及应急管理支出(类)应急管理事务(款)行政运行(项)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二十三、灾害防治及应急管理支出(类)应急管理事务(款)一般行政管理事务(项)</w:t>
      </w:r>
      <w:r>
        <w:rPr>
          <w:rFonts w:ascii="仿宋" w:hAnsi="仿宋" w:cs="仿宋" w:eastAsia="仿宋"/>
          <w:b w:val="true"/>
        </w:rPr>
        <w:t>：</w:t>
      </w:r>
      <w:r>
        <w:rPr>
          <w:rFonts w:hint="eastAsia" w:ascii="仿宋" w:hAnsi="仿宋" w:eastAsia="仿宋" w:cs="仿宋"/>
        </w:rPr>
        <w:t>反映行政单位（包括实行公务员管理的事业单位）未单独设置项级科目的其他项目支出。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二十四、灾害防治及应急管理支出(类)应急管理事务(款)灾害风险防治(项)</w:t>
      </w:r>
      <w:r>
        <w:rPr>
          <w:rFonts w:ascii="仿宋" w:hAnsi="仿宋" w:cs="仿宋" w:eastAsia="仿宋"/>
          <w:b w:val="true"/>
        </w:rPr>
        <w:t>：</w:t>
      </w:r>
      <w:r>
        <w:rPr>
          <w:rFonts w:hint="eastAsia" w:ascii="仿宋" w:hAnsi="仿宋" w:eastAsia="仿宋" w:cs="仿宋"/>
        </w:rPr>
        <w:t>反映组织、指导、协调各类风险灾害防范治理方面的支出。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二十五、灾害防治及应急管理支出(类)应急管理事务(款)安全监管(项)</w:t>
      </w:r>
      <w:r>
        <w:rPr>
          <w:rFonts w:ascii="仿宋" w:hAnsi="仿宋" w:cs="仿宋" w:eastAsia="仿宋"/>
          <w:b w:val="true"/>
        </w:rPr>
        <w:t>：</w:t>
      </w:r>
      <w:r>
        <w:rPr>
          <w:rFonts w:hint="eastAsia" w:ascii="仿宋" w:hAnsi="仿宋" w:eastAsia="仿宋" w:cs="仿宋"/>
        </w:rPr>
        <w:t>反映安全生产综合监督管理和工贸行业安全生产监督管理等方面的支出。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二十六、灾害防治及应急管理支出(类)应急管理事务(款)应急救援(项)</w:t>
      </w:r>
      <w:r>
        <w:rPr>
          <w:rFonts w:ascii="仿宋" w:hAnsi="仿宋" w:cs="仿宋" w:eastAsia="仿宋"/>
          <w:b w:val="true"/>
        </w:rPr>
        <w:t>：</w:t>
      </w:r>
      <w:r>
        <w:rPr>
          <w:rFonts w:hint="eastAsia" w:ascii="仿宋" w:hAnsi="仿宋" w:eastAsia="仿宋" w:cs="仿宋"/>
        </w:rPr>
        <w:t>反映安全生产、自然灾害应急救援方面的支出。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二十七、灾害防治及应急管理支出(类)应急管理事务(款)应急管理(项)</w:t>
      </w:r>
      <w:r>
        <w:rPr>
          <w:rFonts w:ascii="仿宋" w:hAnsi="仿宋" w:cs="仿宋" w:eastAsia="仿宋"/>
          <w:b w:val="true"/>
        </w:rPr>
        <w:t>：</w:t>
      </w:r>
      <w:r>
        <w:rPr>
          <w:rFonts w:hint="eastAsia" w:ascii="仿宋" w:hAnsi="仿宋" w:eastAsia="仿宋" w:cs="仿宋"/>
        </w:rPr>
        <w:t>反应用于应急管理的法律法规制定修订，应急预案演练、协调保障等方面的支出。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二十八、灾害防治及应急管理支出(类)应急管理事务(款)其他应急管理支出(项)</w:t>
      </w:r>
      <w:r>
        <w:rPr>
          <w:rFonts w:ascii="仿宋" w:hAnsi="仿宋" w:cs="仿宋" w:eastAsia="仿宋"/>
          <w:b w:val="true"/>
        </w:rPr>
        <w:t>：</w:t>
      </w:r>
      <w:r>
        <w:rPr>
          <w:rFonts w:hint="eastAsia" w:ascii="仿宋" w:hAnsi="仿宋" w:eastAsia="仿宋" w:cs="仿宋"/>
        </w:rPr>
        <w:t>反映除上述项目外的其他应急管理方面的支出。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二十九、灾害防治及应急管理支出(类)自然灾害防治(款)其他自然灾害防治支出(项)</w:t>
      </w:r>
      <w:r>
        <w:rPr>
          <w:rFonts w:ascii="仿宋" w:hAnsi="仿宋" w:cs="仿宋" w:eastAsia="仿宋"/>
          <w:b w:val="true"/>
        </w:rPr>
        <w:t>：</w:t>
      </w:r>
      <w:r>
        <w:rPr>
          <w:rFonts w:hint="eastAsia" w:ascii="仿宋" w:hAnsi="仿宋" w:eastAsia="仿宋" w:cs="仿宋"/>
        </w:rPr>
        <w:t>反映除上述项目以外其他用于自然灾害防治的支出。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三十、灾害防治及应急管理支出(类)自然灾害救灾及恢复重建支出(款)其他自然灾害救灾及恢复重建支出(项)</w:t>
      </w:r>
      <w:r>
        <w:rPr>
          <w:rFonts w:ascii="仿宋" w:hAnsi="仿宋" w:cs="仿宋" w:eastAsia="仿宋"/>
          <w:b w:val="true"/>
        </w:rPr>
        <w:t>：</w:t>
      </w:r>
      <w:r>
        <w:rPr>
          <w:rFonts w:hint="eastAsia" w:ascii="仿宋" w:hAnsi="仿宋" w:eastAsia="仿宋" w:cs="仿宋"/>
        </w:rPr>
        <w:t>反映除上述项目以外其他用于自然灾害救灾、灾后恢复重建等方面的支出。</w:t>
      </w:r>
    </w:p>
    <w:sectPr>
      <w:pgSz w:w="11906" w:h="16838"/>
      <w:pgMar w:top="1440" w:right="1080" w:bottom="1440" w:left="108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20B0604020202020204"/>
    <w:charset w:val="86"/>
    <w:family w:val="roman"/>
    <w:pitch w:val="default"/>
    <w:sig w:usb0="00000000" w:usb1="00000000" w:usb2="00000021" w:usb3="00000000" w:csb0="600001BF" w:csb1="DFF70000"/>
  </w:font>
  <w:font w:name="Liberation Mono">
    <w:altName w:val="宋体"/>
    <w:panose1 w:val="02070409020205020404"/>
    <w:charset w:val="86"/>
    <w:family w:val="roman"/>
    <w:pitch w:val="default"/>
    <w:sig w:usb0="00000000" w:usb1="00000000"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roman"/>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溧阳市应急管理局</w:t>
    </w:r>
    <w:bookmarkStart w:id="0" w:name="_GoBack"/>
    <w:bookmarkEnd w:id="0"/>
    <w:r>
      <w:t>2023</w:t>
    </w:r>
    <w:r>
      <w:rPr>
        <w:rFonts w:hint="eastAsia"/>
        <w:lang w:val="en-US" w:eastAsia="zh-CN"/>
      </w:rPr>
      <w:t>年度</w:t>
    </w:r>
    <w:r>
      <w:t>部门</w:t>
    </w:r>
    <w:r>
      <w:t>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OTZhZDYyZDRkNjBlM2JhZTAwNWZjYTM1ZGFmNGQwMjEifQ=="/>
  </w:docVars>
  <w:rsids>
    <w:rsidRoot w:val="00000000"/>
    <w:rsid w:val="00064984"/>
    <w:rsid w:val="00071789"/>
    <w:rsid w:val="000C024B"/>
    <w:rsid w:val="000F12AB"/>
    <w:rsid w:val="001C31F9"/>
    <w:rsid w:val="002E63B1"/>
    <w:rsid w:val="00407CA7"/>
    <w:rsid w:val="00413AD8"/>
    <w:rsid w:val="004C0647"/>
    <w:rsid w:val="00671ED7"/>
    <w:rsid w:val="00672164"/>
    <w:rsid w:val="006732F1"/>
    <w:rsid w:val="007C0F2D"/>
    <w:rsid w:val="008322BB"/>
    <w:rsid w:val="00867423"/>
    <w:rsid w:val="008B5B05"/>
    <w:rsid w:val="009965EA"/>
    <w:rsid w:val="00A6752E"/>
    <w:rsid w:val="00B92181"/>
    <w:rsid w:val="00BD7F33"/>
    <w:rsid w:val="00C15920"/>
    <w:rsid w:val="00C82582"/>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theme/theme1.xml" Type="http://schemas.openxmlformats.org/officeDocument/2006/relationships/theme"/><Relationship Id="rId2" Target="settings.xml" Type="http://schemas.openxmlformats.org/officeDocument/2006/relationships/settings"/><Relationship Id="rId20" Target="../customXml/item1.xml" Type="http://schemas.openxmlformats.org/officeDocument/2006/relationships/customXml"/><Relationship Id="rId21" Target="fontTable.xml" Type="http://schemas.openxmlformats.org/officeDocument/2006/relationships/fontTable"/><Relationship Id="rId22" Target="media/image1.jpeg" Type="http://schemas.openxmlformats.org/officeDocument/2006/relationships/image"/><Relationship Id="rId23"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2732</Words>
  <Characters>7627</Characters>
  <Paragraphs>501</Paragraphs>
  <TotalTime>7</TotalTime>
  <ScaleCrop>false</ScaleCrop>
  <LinksUpToDate>false</LinksUpToDate>
  <CharactersWithSpaces>7648</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CC.</cp:lastModifiedBy>
  <dcterms:modified xsi:type="dcterms:W3CDTF">2024-06-18T07:55:31Z</dcterms:modified>
  <cp:revision>175</cp:revision>
  <dc:title>部门决算公开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2052-12.1.0.16929</vt:lpwstr>
  </property>
  <property fmtid="{D5CDD505-2E9C-101B-9397-08002B2CF9AE}" pid="6" name="LastSaved">
    <vt:filetime>2021-04-15T00:00:00Z</vt:filetime>
  </property>
</Properties>
</file>