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before="0" w:after="0" w:line="560" w:lineRule="exact"/>
        <w:rPr>
          <w:rFonts w:ascii="Times New Roman" w:hAnsi="Times New Roman" w:eastAsia="方正小标宋简体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b w:val="0"/>
          <w:bCs w:val="0"/>
          <w:kern w:val="0"/>
          <w:sz w:val="32"/>
          <w:szCs w:val="32"/>
        </w:rPr>
        <w:t>附件2</w:t>
      </w:r>
    </w:p>
    <w:p>
      <w:pPr>
        <w:pStyle w:val="3"/>
        <w:keepLines w:val="0"/>
        <w:spacing w:before="0" w:after="0" w:line="560" w:lineRule="exact"/>
        <w:jc w:val="center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</w:p>
    <w:p>
      <w:pPr>
        <w:pStyle w:val="3"/>
        <w:keepLines w:val="0"/>
        <w:spacing w:before="0" w:after="0" w:line="560" w:lineRule="exact"/>
        <w:jc w:val="center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果茶桑生产全程机械化示范基地建设指引（试行）</w:t>
      </w:r>
    </w:p>
    <w:p>
      <w:pPr>
        <w:rPr>
          <w:rFonts w:ascii="Times New Roman" w:hAnsi="Times New Roman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果茶生产全程机械化示范基地主要从规划设计、排灌设施、病虫害防控设施、机艺相融、“宜机化”配套、机械化生产等方面规范建设，实现果茶</w:t>
      </w:r>
      <w:r>
        <w:rPr>
          <w:rFonts w:hint="eastAsia" w:ascii="Times New Roman" w:hAnsi="Times New Roman" w:eastAsia="仿宋_GB2312"/>
          <w:kern w:val="44"/>
          <w:sz w:val="32"/>
          <w:szCs w:val="32"/>
        </w:rPr>
        <w:t>桑</w:t>
      </w:r>
      <w:r>
        <w:rPr>
          <w:rFonts w:ascii="Times New Roman" w:hAnsi="Times New Roman" w:eastAsia="仿宋_GB2312"/>
          <w:kern w:val="44"/>
          <w:sz w:val="32"/>
          <w:szCs w:val="32"/>
        </w:rPr>
        <w:t>生产全程机械化。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1.基地规划科学。基地建设应选在果茶</w:t>
      </w:r>
      <w:r>
        <w:rPr>
          <w:rFonts w:hint="eastAsia" w:ascii="Times New Roman" w:hAnsi="Times New Roman" w:eastAsia="仿宋_GB2312"/>
          <w:kern w:val="44"/>
          <w:sz w:val="32"/>
          <w:szCs w:val="32"/>
        </w:rPr>
        <w:t>桑</w:t>
      </w:r>
      <w:r>
        <w:rPr>
          <w:rFonts w:ascii="Times New Roman" w:hAnsi="Times New Roman" w:eastAsia="仿宋_GB2312"/>
          <w:kern w:val="44"/>
          <w:sz w:val="32"/>
          <w:szCs w:val="32"/>
        </w:rPr>
        <w:t>特色主导产业集聚区，地势相对平坦、成片规整地块，以长方形为宜，原则上坡度不大于15°。核心示范区不低于50亩（相对连片），辐射区不低于100亩。基地规划好道路、种植规格、水利、生态循环、防护系统等设施以及种植、储藏、管理等功能区。基地内主路净宽6米，支路净宽3米，机耕道路面净宽1.5～2米。田间道路满足农业机械通行、进出作业和农资运输需要，平地基地通达度达到100%，丘陵及山坡地基地通达度不低于90%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2.排灌设施良好。种植区周围应设置不小于60cm深的排灌沟渠，控制水位在50cm以下，应具备轮式拖拉机及其配套农机具通过承载能力。种植区内行间排水沟深30cm，宽小于30cm，推荐“沟边带路”或“沟盖板成路”方式建设。果园主排水沟穿过道路系统时，推荐用暗沟、暗管穿越，且暗管埋深不小于30cm。地面平整或树干与排水沟间可形成不大于10度的斜坡。每50～100亩要设置一个3×3×1立方米蓄水池，每100亩配置一处农用电源与照明设施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3.田间机艺相融。果树行距应大于动力主机宽度的2倍且不小于4米，茶树条栽密植，行距</w:t>
      </w:r>
      <w:r>
        <w:rPr>
          <w:rFonts w:hint="eastAsia" w:ascii="Times New Roman" w:hAnsi="Times New Roman" w:eastAsia="仿宋_GB2312"/>
          <w:kern w:val="44"/>
          <w:sz w:val="32"/>
          <w:szCs w:val="32"/>
        </w:rPr>
        <w:t>、长度原则上</w:t>
      </w:r>
      <w:r>
        <w:rPr>
          <w:rFonts w:ascii="Times New Roman" w:hAnsi="Times New Roman" w:eastAsia="仿宋_GB2312"/>
          <w:kern w:val="44"/>
          <w:sz w:val="32"/>
          <w:szCs w:val="32"/>
        </w:rPr>
        <w:t>不小于1.5m</w:t>
      </w:r>
      <w:r>
        <w:rPr>
          <w:rFonts w:hint="eastAsia" w:ascii="Times New Roman" w:hAnsi="Times New Roman" w:eastAsia="仿宋_GB2312"/>
          <w:kern w:val="44"/>
          <w:sz w:val="32"/>
          <w:szCs w:val="32"/>
        </w:rPr>
        <w:t>、</w:t>
      </w:r>
      <w:r>
        <w:rPr>
          <w:rFonts w:ascii="Times New Roman" w:hAnsi="Times New Roman" w:eastAsia="仿宋_GB2312"/>
          <w:kern w:val="44"/>
          <w:sz w:val="32"/>
          <w:szCs w:val="32"/>
        </w:rPr>
        <w:t>50m，</w:t>
      </w:r>
      <w:r>
        <w:rPr>
          <w:rFonts w:hint="eastAsia" w:ascii="Times New Roman" w:hAnsi="Times New Roman" w:eastAsia="仿宋_GB2312"/>
          <w:kern w:val="44"/>
          <w:sz w:val="32"/>
          <w:szCs w:val="32"/>
        </w:rPr>
        <w:t>符合机具作业通行条件，</w:t>
      </w:r>
      <w:r>
        <w:rPr>
          <w:rFonts w:ascii="Times New Roman" w:hAnsi="Times New Roman" w:eastAsia="仿宋_GB2312"/>
          <w:kern w:val="44"/>
          <w:sz w:val="32"/>
          <w:szCs w:val="32"/>
        </w:rPr>
        <w:t>株距符合农艺要求。树型视情选择主干型、Y型、T型或水平棚架式，果树分枝高度不低于50cm，茶蓬高0.8m～1.2m，蓬面宽不大于1.2m，行间距不小于80cm，蓬间距大于15cm，应满足机具作业要求。地头应留有机械转弯调头的空地，空地宽度不小于机组转弯半径且不小于2米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4.辅助设施“宜机”。基地大棚及避雨设施不影响机械作业，大棚门高和宽均不小于1.8米。大棚及避雨设施的肩高应大于1.8米，支撑杆（柱）间宽度适宜。防霜风扇、固定式虫害防控装备、虫害气象预警装置等辅助设施布置于主干道或支道旁，不能影响作业机组通行。喷滴灌管线排布合理，暗管埋管深度不小于30厘米，明管设于第一分枝之上或树冠层内，喷滴竖管高度可调整，可降至30cm，不阻碍作业机械作业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5.生产方式先进。基地主要品种、关键环节均要与相应机械匹配，机械化生产按照标准作业技术规程操作，基地果、茶机械化水平达80%以上。基地农田灌溉节水高效，精准施肥、施药，推广应用绿色先进农业生产技术，灌溉水质达标，注重沟渠生态建设和水土保持。</w:t>
      </w:r>
    </w:p>
    <w:p>
      <w:pPr>
        <w:spacing w:after="156" w:line="520" w:lineRule="exact"/>
        <w:ind w:firstLine="640" w:firstLineChars="200"/>
        <w:jc w:val="left"/>
        <w:rPr>
          <w:rFonts w:ascii="Times New Roman" w:hAnsi="Times New Roman" w:eastAsia="仿宋_GB2312"/>
          <w:kern w:val="44"/>
          <w:sz w:val="32"/>
          <w:szCs w:val="32"/>
        </w:rPr>
      </w:pPr>
      <w:r>
        <w:rPr>
          <w:rFonts w:ascii="Times New Roman" w:hAnsi="Times New Roman" w:eastAsia="仿宋_GB2312"/>
          <w:kern w:val="44"/>
          <w:sz w:val="32"/>
          <w:szCs w:val="32"/>
        </w:rPr>
        <w:t>6.配套设施完备。应根据基地规模配备生产生活用房、农机装备智慧管控调度室、预处理室、分级包装场、检测检验室、农资贮藏室、机库、保鲜库等生产配套设施。机库面积满足机具统一停放和管护要求，并配有必要的维修设备。基地实现5G通讯与网络信号覆盖。根据基地规模和作业要求合理配置机械操作、维修、管理人员。</w:t>
      </w:r>
    </w:p>
    <w:p>
      <w:pPr>
        <w:pStyle w:val="2"/>
        <w:ind w:left="402" w:firstLine="402"/>
      </w:pPr>
    </w:p>
    <w:p>
      <w:pPr>
        <w:pStyle w:val="2"/>
        <w:ind w:left="402" w:firstLine="402"/>
      </w:pPr>
    </w:p>
    <w:p>
      <w:pPr>
        <w:spacing w:after="156"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果（桑）生产全程机械化示范基地装备配置推荐表</w:t>
      </w:r>
    </w:p>
    <w:tbl>
      <w:tblPr>
        <w:tblStyle w:val="4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358"/>
        <w:gridCol w:w="355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机具种类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机具名称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技术参数与特征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拖拉机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大棚王、园艺拖拉机等适宜果园的中小型拖拉机，配套动力≥35马力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动力平台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乘坐式、遥控式等含动力输出履带平台，配套动力≥18马力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基本建设机械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农田捡石机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捡石深度≥30cm,捡石大小≥5cm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耕整地机械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微耕机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耕幅≥0.6m，耕深≥10cm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旋耕机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耕幅≥1m，耕深≥10cm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中耕培土机械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耕幅≥60cm，耕深≥5-10cm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除草机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乘坐式、遥控式、手推式、悬挂式避障除草机，割幅≥60cm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开沟施肥机械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深松联合整地作业机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耕深≥30cm,深松铲片≥2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施肥机械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有机肥施肥机、开沟施肥回填一体机、螺旋开沟施肥机、开沟机、回土机等，施肥深度10-30cm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植保机械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植保无人机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同时支持手动或全自主飞行，断点续喷，作业时间≥10分钟，载重≥10L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自走式喷雾机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射程≥6m，药箱容积≥300L，软管≥100m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风送弥雾机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药箱容积≥300L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担架式高压喷雾机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7马力以上，四冲程，汽油或柴油机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绿色防控太阳能防虫灯（黄板等）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具有自动清虫、雨控、光控、时控等功能，单灯控制面积≥30亩，鼓励物联网杀虫灯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田间管理机械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修剪机（伐条机）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含电动、气动修枝剪和全自动修剪机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授粉机（枪）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手动式、电动式或汽油机式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果实套袋机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自动取袋、撑袋、封袋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疏花、疏果机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手持式、车载式等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田间管理机械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绑蔓机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含单压片、双压片机头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适用于葡萄、猕猴桃等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自走式田间枝条粉碎机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行间枝条、藤蔓粉碎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枝条粉碎机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日处理量≥5t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灌溉机械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排灌设施设备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电力提灌站、太阳能提灌站、水肥一体化灌溉成套设备，智慧灌溉成套设备（主要包含灌溉首部、过滤器、智能控制装置、施肥装置、输水管道、灌水器、智能管理与物联网平台）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根据产业基地需要选择技术参数与特征应配机械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收获运输机械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果实采收自动升降平台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最大升高高度≥1.5m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自卸式运输车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三轮或四轮，电动或油动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履带搬运机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额定载重≥300kg，最大爬坡角度≥2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轨道运输车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最大爬坡角度≥30°,额定载重≥200kg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产地初加工机械</w:t>
            </w: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清洗机械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含不同种类水果清洗，清洗量≥500kg/h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分级机械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根据果实重量、直径、颜色进行分选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包装机械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热收缩膜全自动、半自动水果专用包装机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预冷及冷藏设备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库容≥500m3，温度4-6</w:t>
            </w:r>
            <w:r>
              <w:rPr>
                <w:rFonts w:ascii="Times New Roman" w:hAnsi="Times New Roman"/>
              </w:rPr>
              <w:t>℃</w:t>
            </w:r>
            <w:r>
              <w:rPr>
                <w:rFonts w:ascii="Times New Roman" w:hAnsi="Times New Roman" w:eastAsia="仿宋_GB2312"/>
              </w:rPr>
              <w:t>，（也可应用气调保鲜库）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应配机械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烘干机械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绿色低功耗热源烘干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pPr>
        <w:pageBreakBefore/>
        <w:spacing w:before="156" w:after="156" w:line="560" w:lineRule="exact"/>
        <w:jc w:val="center"/>
        <w:rPr>
          <w:rFonts w:ascii="Times New Roman" w:hAnsi="Times New Roman" w:eastAsia="方正小标宋简体"/>
          <w:b/>
          <w:bCs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茶叶生产全程机械化示范基地装备配置推荐表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12"/>
        <w:gridCol w:w="3509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机具种类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机具名称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技术参数与特征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乘用型多功能动力平台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动力不小于25马力；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机身宽幅不大于80cm；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遥控型/可视化远程多功能动力平台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动力不小于25马力；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机身宽幅不大于80cm；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遥控距离不低于5m；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可视化遥控距离不低于1km；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耕整地机械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小型微耕松土机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耕作宽度≥30cm；机重≤25kg；耕作深度≤8cm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浅耕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中耕除草机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耕作深度≤15cm；耕作宽度≤60cm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深耕、中耕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手扶式深耕机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耕作深度≥15cm；耕作宽度≤60cm</w:t>
            </w:r>
          </w:p>
        </w:tc>
        <w:tc>
          <w:tcPr>
            <w:tcW w:w="13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乘坐式耕作机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耕作深度≥15cm；耕作宽度≤60cm；安全作业倾角≥5°</w:t>
            </w:r>
          </w:p>
        </w:tc>
        <w:tc>
          <w:tcPr>
            <w:tcW w:w="13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肥水机械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手扶式自走施肥机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撒施半径≤3m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复合肥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低地隙乘坐式施肥机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施肥深度≤35cm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施肥宽度≤60cm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复合肥/有机肥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水肥一体化成套设备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含灌溉首部、过滤器、施肥器、输水管道和灌水器（喷灌或滴灌）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高地隙乘坐式施肥机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施肥深度≤35cm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施肥宽度≤60cm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同时作业行数：≥2行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复合肥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植保机械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色板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黄板、黄红复合色板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诱剂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性诱剂、食诱剂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植物病毒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绿色无公害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复合式杀虫灯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具有自动清虫、雨控、光控、时控等功能，单灯控制面积≥20亩，可构建物联网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背负式吸虫机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校正虫口减退率≥74%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乘驾型植保机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喷雾式，喷杆≥6m；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同时作业行数：≥2行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手扶式喷雾机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射程≥6m，药箱容积≥300L，软管≥100m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无人植保机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同时支持手动或全自主飞行，断点续喷，作业时间≥10分钟，载重≥10kg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茶树修剪机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手扶式侧边修剪机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修剪宽度≤420cm；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修剪高度 ≤100cm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单人手持式修剪机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修剪宽度：≥60cm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双人手持式修剪机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修剪宽度：≥100cm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乘驾型修剪机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修剪宽度≤420cm；修剪高度 ≤100cm；可双侧及蓬面修剪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茶叶采收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小型手持式采摘机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电动，采摘幅宽≥30cm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单人手持式采摘机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采摘幅宽≥60cm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双人抬式采摘机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采摘幅宽≥120cm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手扶式自走采摘机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采摘幅宽≥120cm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跨行自走式采摘机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采摘高度可调节50cm-100cm；适应作业角度：≤15°；采摘幅宽≥120cm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遥控自走式电动智能采茶机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采摘高度可调节50cm-100cm；适应作业角度：≤15°；采摘幅宽≥120cm；遥控距离不低于5m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田间管理与转运机械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自走式枝条粉碎机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行间枝条粉碎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枝条粉碎机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日处理量≥5t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小型运输车/机械或其它机动运输工具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载重量≥200kg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轨道/索道运输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含主机、轨道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鲜叶处理机械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鲜叶分级机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风选式、振摇式、基于机器视觉的分选机等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茶叶摊青机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链板式摊青机等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茶叶筛选机</w:t>
            </w:r>
          </w:p>
        </w:tc>
        <w:tc>
          <w:tcPr>
            <w:tcW w:w="3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执行单元数：≥128个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55C494-4498-4404-B415-04AB4193E1D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58D493-EA10-428C-BDE4-82FB2579C0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E199C2-F3B9-49BE-AB30-FCD39B5F8AD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879DC07-789D-4C78-BB26-948DD52483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353A2BF0"/>
    <w:rsid w:val="19995B4A"/>
    <w:rsid w:val="353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2024-05-06T06:00:00Z</dcterms:created>
  <dc:creator>叫我女王大人</dc:creator>
  <cp:lastModifiedBy>叫我女王大人</cp:lastModifiedBy>
  <dcterms:modified xsi:type="dcterms:W3CDTF">2024-05-06T06:03:14Z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C2D2B58B6CA64414841687826F343BCA_11</vt:lpwstr>
  </property>
</Properties>
</file>