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202</w:t>
      </w: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4</w:t>
      </w: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年度体育彩票公益金资助项目</w:t>
      </w:r>
    </w:p>
    <w:p>
      <w:pPr>
        <w:spacing w:line="700" w:lineRule="exact"/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宣传公告</w:t>
      </w:r>
    </w:p>
    <w:p>
      <w:pPr>
        <w:widowControl/>
        <w:adjustRightInd w:val="0"/>
        <w:snapToGrid w:val="0"/>
        <w:spacing w:line="700" w:lineRule="exact"/>
        <w:jc w:val="center"/>
        <w:rPr>
          <w:rFonts w:hint="default" w:ascii="Times New Roman" w:hAnsi="Times New Roman" w:eastAsia="方正仿宋_GBK" w:cs="Times New Roman"/>
          <w:color w:val="auto"/>
          <w:kern w:val="0"/>
          <w:szCs w:val="32"/>
          <w:highlight w:val="none"/>
        </w:rPr>
      </w:pPr>
    </w:p>
    <w:p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黑体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auto"/>
          <w:szCs w:val="32"/>
          <w:highlight w:val="none"/>
        </w:rPr>
        <w:t>一、</w:t>
      </w:r>
      <w:r>
        <w:rPr>
          <w:rFonts w:hint="default" w:ascii="Times New Roman" w:hAnsi="Times New Roman" w:eastAsia="黑体" w:cs="Times New Roman"/>
          <w:color w:val="auto"/>
          <w:szCs w:val="32"/>
          <w:highlight w:val="none"/>
          <w:lang w:val="en-US" w:eastAsia="zh-CN"/>
        </w:rPr>
        <w:t>体彩</w:t>
      </w:r>
      <w:r>
        <w:rPr>
          <w:rFonts w:hint="default" w:ascii="Times New Roman" w:hAnsi="Times New Roman" w:eastAsia="黑体" w:cs="Times New Roman"/>
          <w:color w:val="auto"/>
          <w:szCs w:val="32"/>
          <w:highlight w:val="none"/>
        </w:rPr>
        <w:t>公益金资助项目信息公布情况</w:t>
      </w:r>
    </w:p>
    <w:p>
      <w:pPr>
        <w:spacing w:line="580" w:lineRule="exact"/>
        <w:ind w:firstLine="624" w:firstLineChars="200"/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（一）项目概况</w:t>
      </w:r>
    </w:p>
    <w:p>
      <w:pPr>
        <w:widowControl/>
        <w:adjustRightInd w:val="0"/>
        <w:snapToGrid w:val="0"/>
        <w:spacing w:line="580" w:lineRule="exact"/>
        <w:ind w:firstLine="624" w:firstLineChars="200"/>
        <w:rPr>
          <w:rFonts w:hint="eastAsia" w:ascii="仿宋_GB2312" w:eastAsia="仿宋_GB231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1.项目名称：</w:t>
      </w:r>
      <w:r>
        <w:rPr>
          <w:rFonts w:hint="eastAsia" w:ascii="仿宋_GB2312" w:eastAsia="仿宋_GB2312"/>
          <w:szCs w:val="32"/>
        </w:rPr>
        <w:t>竞技体育</w:t>
      </w:r>
      <w:r>
        <w:rPr>
          <w:rFonts w:hint="eastAsia" w:ascii="仿宋_GB2312" w:eastAsia="仿宋_GB2312"/>
          <w:szCs w:val="32"/>
          <w:lang w:val="en-US" w:eastAsia="zh-CN"/>
        </w:rPr>
        <w:t>经费</w:t>
      </w:r>
    </w:p>
    <w:p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2.项目单位：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溧阳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市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文体广电和旅游局</w:t>
      </w:r>
    </w:p>
    <w:p>
      <w:pPr>
        <w:spacing w:line="580" w:lineRule="exact"/>
        <w:ind w:firstLine="624" w:firstLineChars="200"/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3.项目总额：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872.501503万元</w:t>
      </w:r>
    </w:p>
    <w:p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4.项目时间：202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年1月-12月</w:t>
      </w:r>
    </w:p>
    <w:p>
      <w:pPr>
        <w:spacing w:line="580" w:lineRule="exact"/>
        <w:ind w:firstLine="624" w:firstLineChars="200"/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5.项目联络人：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周文伟</w:t>
      </w:r>
    </w:p>
    <w:p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6.项目宣传落实情况：按要求做好公益金使用宣传</w:t>
      </w:r>
    </w:p>
    <w:p>
      <w:pPr>
        <w:spacing w:line="580" w:lineRule="exact"/>
        <w:ind w:firstLine="624" w:firstLineChars="200"/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（二）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  <w:lang w:val="en-US" w:eastAsia="zh-CN"/>
        </w:rPr>
        <w:t>体彩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公益金资助项目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  <w:lang w:val="en-US" w:eastAsia="zh-CN"/>
        </w:rPr>
        <w:t>实施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效果</w:t>
      </w:r>
    </w:p>
    <w:p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1．公益金资助项目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  <w:lang w:val="en-US" w:eastAsia="zh-CN"/>
        </w:rPr>
        <w:t>及影响的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总体描述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202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年体育彩票公益金的投入对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溧阳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体育赛事发展起到了很大的推动作用。今年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溧阳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市以“山水”为媒，孵化精品体育赛事，推动“体育+旅游”融合发展，将赛事流量转化为旅游消费增量，以小投入实现大产出。今年以来，先后举办各类体育赛事79个，其中国际性赛事1项，全国性赛事10项，省级赛事2项，连续第2年举办“天目湖马拉松”，赛事组织、服务、氛围营造等方面好评如潮，引爆全网，线上赛事曝光量突破1亿人次，为品质城市建设注入健康活力。全年累计吸引近4万人参赛，因赛来溧超10万人次，带动综合消费超亿元，成功打造赛事经济新引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highlight w:val="none"/>
        </w:rPr>
        <w:t>2．项目具体实施内容及达到的效果描述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highlight w:val="none"/>
          <w:lang w:val="en-US" w:eastAsia="zh-CN"/>
        </w:rPr>
        <w:t>经济效益、社会效益、可持续发展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项目共有</w:t>
      </w:r>
      <w:r>
        <w:rPr>
          <w:rFonts w:hint="eastAsia" w:eastAsia="仿宋_GB2312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项内容，分别为2023马拉松赛事增项</w:t>
      </w:r>
      <w:r>
        <w:rPr>
          <w:rFonts w:hint="eastAsia" w:eastAsia="仿宋_GB2312"/>
          <w:sz w:val="32"/>
          <w:szCs w:val="32"/>
          <w:lang w:val="en-US" w:eastAsia="zh-CN"/>
        </w:rPr>
        <w:t>135.6312</w:t>
      </w:r>
      <w:r>
        <w:rPr>
          <w:rFonts w:hint="eastAsia" w:ascii="Times New Roman" w:hAnsi="Times New Roman" w:eastAsia="仿宋_GB2312"/>
          <w:sz w:val="32"/>
          <w:szCs w:val="32"/>
        </w:rPr>
        <w:t>万元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sz w:val="32"/>
          <w:szCs w:val="32"/>
        </w:rPr>
        <w:t>2024霞路相逢商学院越野赛溧阳站经费18.887</w:t>
      </w:r>
      <w:r>
        <w:rPr>
          <w:rFonts w:hint="eastAsia" w:eastAsia="仿宋_GB2312"/>
          <w:sz w:val="32"/>
          <w:szCs w:val="32"/>
          <w:lang w:val="en-US" w:eastAsia="zh-CN"/>
        </w:rPr>
        <w:t>万元，</w:t>
      </w:r>
      <w:r>
        <w:rPr>
          <w:rFonts w:hint="eastAsia" w:ascii="Times New Roman" w:hAnsi="Times New Roman" w:eastAsia="仿宋_GB2312"/>
          <w:sz w:val="32"/>
          <w:szCs w:val="32"/>
        </w:rPr>
        <w:t>2024天目湖马拉松经费</w:t>
      </w:r>
      <w:r>
        <w:rPr>
          <w:rFonts w:hint="eastAsia" w:eastAsia="仿宋_GB2312"/>
          <w:sz w:val="32"/>
          <w:szCs w:val="32"/>
          <w:lang w:val="en-US" w:eastAsia="zh-CN"/>
        </w:rPr>
        <w:t>468.118403</w:t>
      </w:r>
      <w:r>
        <w:rPr>
          <w:rFonts w:hint="eastAsia" w:ascii="Times New Roman" w:hAnsi="Times New Roman" w:eastAsia="仿宋_GB2312"/>
          <w:sz w:val="32"/>
          <w:szCs w:val="32"/>
        </w:rPr>
        <w:t>万元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2024全国青少年U系列公路自行车冠军赛、锦标赛赛事经费25.9464万元。</w:t>
      </w:r>
      <w:r>
        <w:rPr>
          <w:rFonts w:hint="eastAsia" w:ascii="Times New Roman" w:hAnsi="Times New Roman" w:eastAsia="仿宋_GB2312"/>
          <w:sz w:val="32"/>
          <w:szCs w:val="32"/>
        </w:rPr>
        <w:t>2024年“寻找美丽中华”全国乡村定向系列赛·江苏溧阳站赛事经费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29.95</w:t>
      </w:r>
      <w:r>
        <w:rPr>
          <w:rFonts w:hint="eastAsia" w:ascii="Times New Roman" w:hAnsi="Times New Roman" w:eastAsia="仿宋_GB2312"/>
          <w:sz w:val="32"/>
          <w:szCs w:val="32"/>
        </w:rPr>
        <w:t>万元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sz w:val="32"/>
          <w:szCs w:val="32"/>
        </w:rPr>
        <w:t>2024大运河自行车系列赛（常州溧阳总决赛站）</w:t>
      </w:r>
      <w:r>
        <w:rPr>
          <w:rFonts w:hint="eastAsia" w:eastAsia="仿宋_GB2312"/>
          <w:sz w:val="32"/>
          <w:szCs w:val="32"/>
          <w:lang w:val="en-US" w:eastAsia="zh-CN"/>
        </w:rPr>
        <w:t>经费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47.24</w:t>
      </w:r>
      <w:r>
        <w:rPr>
          <w:rFonts w:hint="eastAsia" w:ascii="Times New Roman" w:hAnsi="Times New Roman" w:eastAsia="仿宋_GB2312"/>
          <w:sz w:val="32"/>
          <w:szCs w:val="32"/>
        </w:rPr>
        <w:t>万元</w:t>
      </w:r>
      <w:r>
        <w:rPr>
          <w:rFonts w:hint="eastAsia" w:eastAsia="仿宋_GB2312"/>
          <w:sz w:val="32"/>
          <w:szCs w:val="32"/>
          <w:lang w:eastAsia="zh-CN"/>
        </w:rPr>
        <w:t>，2024中国·溧阳第二届全国青少年体育舞蹈俱乐部公开暨“东方杯”2024中国国标舞（体育舞蹈）全国青少年锦标赛赛事经费146.7285</w:t>
      </w:r>
      <w:r>
        <w:rPr>
          <w:rFonts w:hint="eastAsia" w:eastAsia="仿宋_GB2312"/>
          <w:sz w:val="32"/>
          <w:szCs w:val="32"/>
          <w:lang w:val="en-US" w:eastAsia="zh-CN"/>
        </w:rPr>
        <w:t>万元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体彩公益金在体育竞赛领域发挥多重支持功能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eastAsia="仿宋_GB2312"/>
          <w:sz w:val="32"/>
          <w:szCs w:val="32"/>
          <w:lang w:val="en-US" w:eastAsia="zh-CN"/>
        </w:rPr>
        <w:t>一是</w:t>
      </w:r>
      <w:r>
        <w:rPr>
          <w:rFonts w:hint="eastAsia" w:ascii="Times New Roman" w:hAnsi="Times New Roman" w:eastAsia="仿宋_GB2312"/>
          <w:sz w:val="32"/>
          <w:szCs w:val="32"/>
        </w:rPr>
        <w:t>规范赛事运作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sz w:val="32"/>
          <w:szCs w:val="32"/>
        </w:rPr>
        <w:t>通过资助引入专业裁判力量与现代化赛事管理模式，有效提升了竞赛的规范化程度与竞技水平。</w:t>
      </w:r>
      <w:r>
        <w:rPr>
          <w:rFonts w:hint="eastAsia" w:eastAsia="仿宋_GB2312"/>
          <w:sz w:val="32"/>
          <w:szCs w:val="32"/>
          <w:lang w:val="en-US" w:eastAsia="zh-CN"/>
        </w:rPr>
        <w:t>二是</w:t>
      </w:r>
      <w:r>
        <w:rPr>
          <w:rFonts w:hint="eastAsia" w:ascii="Times New Roman" w:hAnsi="Times New Roman" w:eastAsia="仿宋_GB2312"/>
          <w:sz w:val="32"/>
          <w:szCs w:val="32"/>
        </w:rPr>
        <w:t>优化办赛条件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sz w:val="32"/>
          <w:szCs w:val="32"/>
        </w:rPr>
        <w:t>在赛事场地设施更新、服务保障体系完善及后勤支撑等关键环节提供持续资金保障，系统性解决了硬件设施与软件服务的不足，为赛事的高效、高质举办创造了条件，为竞赛的专业化发展和国际化接轨提供了坚实的物质保障。</w:t>
      </w:r>
      <w:r>
        <w:rPr>
          <w:rFonts w:hint="eastAsia" w:eastAsia="仿宋_GB2312"/>
          <w:sz w:val="32"/>
          <w:szCs w:val="32"/>
          <w:lang w:val="en-US" w:eastAsia="zh-CN"/>
        </w:rPr>
        <w:t>三是</w:t>
      </w:r>
      <w:r>
        <w:rPr>
          <w:rFonts w:hint="eastAsia" w:ascii="Times New Roman" w:hAnsi="Times New Roman" w:eastAsia="仿宋_GB2312"/>
          <w:sz w:val="32"/>
          <w:szCs w:val="32"/>
        </w:rPr>
        <w:t>促进全民参与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sz w:val="32"/>
          <w:szCs w:val="32"/>
        </w:rPr>
        <w:t>投入于马拉松等具有广泛群众基础的赛事及全民健身推广活动，有效降低了公众参与门槛，扩大了体育竞赛的覆盖面与参与度，提升了全民健身热情，并显著增强了体育竞赛的社会效益与整体影响力。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体彩公益金在竞赛活动中的有效配置，更好地契合了社会公众对体育事业进步的期望，为其创造了更多参与和支持体育的途径，同时也进一步提升了体育彩票“公益彩票，乐善人生”的公益品牌美誉度。</w:t>
      </w:r>
    </w:p>
    <w:p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黑体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Cs w:val="32"/>
          <w:highlight w:val="none"/>
          <w:lang w:val="en-US" w:eastAsia="zh-CN"/>
        </w:rPr>
        <w:t>二、资助项目宣传工作开展情况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实施竞技体育工作872.501503万元，主要用于多项赛事</w:t>
      </w:r>
      <w:r>
        <w:rPr>
          <w:rFonts w:hint="eastAsia" w:eastAsia="仿宋_GB2312"/>
          <w:sz w:val="32"/>
          <w:szCs w:val="32"/>
          <w:lang w:val="en-US" w:eastAsia="zh-CN"/>
        </w:rPr>
        <w:t>经费的使用</w:t>
      </w:r>
      <w:r>
        <w:rPr>
          <w:rFonts w:hint="eastAsia" w:ascii="Times New Roman" w:hAnsi="Times New Roman" w:eastAsia="仿宋_GB2312"/>
          <w:sz w:val="32"/>
          <w:szCs w:val="32"/>
        </w:rPr>
        <w:t>。项目通过电视转播、纸质媒体、网络媒体等方式对体彩公益金进行宣传，包括比赛场地制作标识牌、</w:t>
      </w:r>
      <w:r>
        <w:rPr>
          <w:rFonts w:hint="eastAsia" w:ascii="Times New Roman" w:hAnsi="Times New Roman" w:eastAsia="仿宋_GB2312" w:cs="仿宋_GB2312"/>
          <w:spacing w:val="11"/>
          <w:sz w:val="32"/>
          <w:szCs w:val="32"/>
        </w:rPr>
        <w:t>比赛活动制作横幅、广告牌等</w:t>
      </w:r>
      <w:r>
        <w:rPr>
          <w:rFonts w:hint="eastAsia" w:ascii="Times New Roman" w:hAnsi="Times New Roman" w:eastAsia="仿宋_GB2312"/>
          <w:sz w:val="32"/>
          <w:szCs w:val="32"/>
        </w:rPr>
        <w:t>方式对体彩公益金进行宣传，包括：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1.</w:t>
      </w:r>
      <w:r>
        <w:rPr>
          <w:rFonts w:hint="eastAsia" w:ascii="Times New Roman" w:hAnsi="Times New Roman" w:eastAsia="仿宋_GB2312"/>
          <w:b/>
          <w:sz w:val="32"/>
          <w:szCs w:val="32"/>
          <w:lang w:eastAsia="zh-Hans"/>
        </w:rPr>
        <w:t>现场宣传</w:t>
      </w:r>
      <w:r>
        <w:rPr>
          <w:rFonts w:hint="eastAsia" w:ascii="Times New Roman" w:hAnsi="Times New Roman" w:eastAsia="仿宋_GB2312"/>
          <w:b/>
          <w:sz w:val="32"/>
          <w:szCs w:val="32"/>
        </w:rPr>
        <w:t>。</w:t>
      </w:r>
      <w:r>
        <w:rPr>
          <w:rFonts w:hint="eastAsia" w:ascii="Times New Roman" w:hAnsi="Times New Roman" w:eastAsia="仿宋_GB2312"/>
          <w:sz w:val="32"/>
          <w:szCs w:val="32"/>
        </w:rPr>
        <w:t>我们对各项竞赛项目进行了全方位的现场宣传，秩序册印刷、比赛场地制作标识牌、比赛活动制作横幅、路旗、广告牌、资助标牌等均按照《资助项目宣传管理办法》要求的宣传规范进行实施。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2.</w:t>
      </w:r>
      <w:r>
        <w:rPr>
          <w:rFonts w:hint="eastAsia" w:ascii="Times New Roman" w:hAnsi="Times New Roman" w:eastAsia="仿宋_GB2312"/>
          <w:b/>
          <w:sz w:val="32"/>
          <w:szCs w:val="32"/>
          <w:lang w:eastAsia="zh-Hans"/>
        </w:rPr>
        <w:t>媒体宣传</w:t>
      </w:r>
      <w:r>
        <w:rPr>
          <w:rFonts w:hint="eastAsia" w:ascii="Times New Roman" w:hAnsi="Times New Roman" w:eastAsia="仿宋_GB2312"/>
          <w:b/>
          <w:sz w:val="32"/>
          <w:szCs w:val="32"/>
        </w:rPr>
        <w:t>。</w:t>
      </w:r>
      <w:r>
        <w:rPr>
          <w:rFonts w:hint="eastAsia" w:ascii="Times New Roman" w:hAnsi="Times New Roman" w:eastAsia="仿宋_GB2312"/>
          <w:sz w:val="32"/>
          <w:szCs w:val="32"/>
        </w:rPr>
        <w:t>宣传手段包含纸质、广播电视和网络媒体等比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如：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Hans"/>
        </w:rPr>
        <w:t>在</w:t>
      </w:r>
      <w:r>
        <w:rPr>
          <w:rFonts w:hint="eastAsia" w:eastAsia="仿宋_GB2312" w:cs="仿宋_GB2312"/>
          <w:spacing w:val="11"/>
          <w:sz w:val="32"/>
          <w:szCs w:val="32"/>
          <w:lang w:val="en-US" w:eastAsia="zh-CN"/>
        </w:rPr>
        <w:t>各</w:t>
      </w:r>
      <w:r>
        <w:rPr>
          <w:rFonts w:hint="eastAsia" w:ascii="Times New Roman" w:hAnsi="Times New Roman" w:eastAsia="仿宋_GB2312" w:cs="仿宋_GB2312"/>
          <w:spacing w:val="11"/>
          <w:sz w:val="32"/>
          <w:szCs w:val="32"/>
        </w:rPr>
        <w:t>级媒体及</w:t>
      </w:r>
      <w:r>
        <w:rPr>
          <w:rFonts w:hint="eastAsia" w:eastAsia="仿宋_GB2312" w:cs="仿宋_GB2312"/>
          <w:spacing w:val="11"/>
          <w:sz w:val="32"/>
          <w:szCs w:val="32"/>
          <w:lang w:val="en-US" w:eastAsia="zh-CN"/>
        </w:rPr>
        <w:t>微信公众号和</w:t>
      </w:r>
      <w:r>
        <w:rPr>
          <w:rFonts w:hint="eastAsia" w:ascii="Times New Roman" w:hAnsi="Times New Roman" w:eastAsia="仿宋_GB2312" w:cs="仿宋_GB2312"/>
          <w:spacing w:val="11"/>
          <w:sz w:val="32"/>
          <w:szCs w:val="32"/>
        </w:rPr>
        <w:t>江苏省</w:t>
      </w:r>
      <w:r>
        <w:rPr>
          <w:rFonts w:hint="eastAsia" w:eastAsia="仿宋_GB2312" w:cs="仿宋_GB2312"/>
          <w:spacing w:val="11"/>
          <w:sz w:val="32"/>
          <w:szCs w:val="32"/>
          <w:lang w:val="en-US" w:eastAsia="zh-CN"/>
        </w:rPr>
        <w:t>体育局</w:t>
      </w:r>
      <w:r>
        <w:rPr>
          <w:rFonts w:hint="eastAsia" w:ascii="Times New Roman" w:hAnsi="Times New Roman" w:eastAsia="仿宋_GB2312" w:cs="仿宋_GB2312"/>
          <w:spacing w:val="11"/>
          <w:sz w:val="32"/>
          <w:szCs w:val="32"/>
        </w:rPr>
        <w:t>网站</w:t>
      </w:r>
      <w:r>
        <w:rPr>
          <w:rFonts w:hint="eastAsia" w:eastAsia="仿宋_GB2312" w:cs="仿宋_GB2312"/>
          <w:spacing w:val="11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仿宋_GB2312"/>
          <w:spacing w:val="11"/>
          <w:sz w:val="32"/>
          <w:szCs w:val="32"/>
        </w:rPr>
        <w:t>都对赛事的各项工作进行了详尽的宣传报道和新闻发布。</w:t>
      </w:r>
      <w:r>
        <w:rPr>
          <w:rFonts w:hint="eastAsia" w:ascii="Times New Roman" w:hAnsi="Times New Roman" w:eastAsia="仿宋_GB2312"/>
          <w:sz w:val="32"/>
          <w:szCs w:val="32"/>
        </w:rPr>
        <w:t>为赛期</w:t>
      </w:r>
      <w:r>
        <w:rPr>
          <w:rFonts w:hint="eastAsia" w:eastAsia="仿宋_GB2312"/>
          <w:sz w:val="32"/>
          <w:szCs w:val="32"/>
          <w:lang w:val="en-US" w:eastAsia="zh-CN"/>
        </w:rPr>
        <w:t>宣传</w:t>
      </w:r>
      <w:r>
        <w:rPr>
          <w:rFonts w:hint="eastAsia" w:ascii="Times New Roman" w:hAnsi="Times New Roman" w:eastAsia="仿宋_GB2312"/>
          <w:sz w:val="32"/>
          <w:szCs w:val="32"/>
        </w:rPr>
        <w:t>起到良好效果。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highlight w:val="none"/>
        </w:rPr>
        <w:t>（3）图片及影像资料等信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603240" cy="3316605"/>
            <wp:effectExtent l="0" t="0" r="16510" b="17145"/>
            <wp:wrapNone/>
            <wp:docPr id="19" name="图片 19" descr="2024霞路相逢商学院越野赛（溧阳站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4霞路相逢商学院越野赛（溧阳站）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270510</wp:posOffset>
            </wp:positionV>
            <wp:extent cx="5607685" cy="2936240"/>
            <wp:effectExtent l="0" t="0" r="12065" b="16510"/>
            <wp:wrapNone/>
            <wp:docPr id="20" name="图片 20" descr="2024天目湖马拉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天目湖马拉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80010</wp:posOffset>
            </wp:positionV>
            <wp:extent cx="5608955" cy="3741420"/>
            <wp:effectExtent l="0" t="0" r="10795" b="11430"/>
            <wp:wrapNone/>
            <wp:docPr id="21" name="图片 21" descr="2024年全国青少年U系列公路自行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4年全国青少年U系列公路自行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337185</wp:posOffset>
            </wp:positionV>
            <wp:extent cx="5606415" cy="3613785"/>
            <wp:effectExtent l="0" t="0" r="13335" b="5715"/>
            <wp:wrapNone/>
            <wp:docPr id="22" name="图片 22" descr="9a1f9229cee95c692ec75c96e2029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a1f9229cee95c692ec75c96e20299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24" w:firstLineChars="200"/>
        <w:textAlignment w:val="auto"/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sectPr>
          <w:pgSz w:w="11906" w:h="16838"/>
          <w:pgMar w:top="2098" w:right="1531" w:bottom="1985" w:left="1531" w:header="737" w:footer="1644" w:gutter="0"/>
          <w:cols w:space="720" w:num="1"/>
          <w:docGrid w:type="linesAndChars" w:linePitch="580" w:charSpace="-1683"/>
        </w:sect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  <w:r>
        <w:rPr>
          <w:rFonts w:hint="default" w:ascii="Times New Roman" w:hAnsi="Times New Roman" w:eastAsia="Times New Roman" w:cs="Times New Roman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  <w:r>
        <w:rPr>
          <w:rFonts w:hint="eastAsia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29210</wp:posOffset>
            </wp:positionV>
            <wp:extent cx="5565775" cy="3865880"/>
            <wp:effectExtent l="0" t="0" r="15875" b="1270"/>
            <wp:wrapNone/>
            <wp:docPr id="23" name="图片 23" descr="2024年大运河自行车系列赛常州溧阳总决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4年大运河自行车系列赛常州溧阳总决赛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  <w: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20955</wp:posOffset>
            </wp:positionV>
            <wp:extent cx="5561965" cy="3361055"/>
            <wp:effectExtent l="0" t="0" r="635" b="10795"/>
            <wp:wrapNone/>
            <wp:docPr id="24" name="图片 24" descr="体育舞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体育舞蹈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>
      <w:pPr>
        <w:tabs>
          <w:tab w:val="left" w:pos="1011"/>
        </w:tabs>
        <w:bidi w:val="0"/>
        <w:jc w:val="left"/>
        <w:rPr>
          <w:rFonts w:hint="default"/>
          <w:color w:val="auto"/>
          <w:highlight w:val="none"/>
          <w:lang w:val="zh-CN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0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atLeast"/>
        <w:jc w:val="left"/>
        <w:textAlignment w:val="auto"/>
        <w:rPr>
          <w:rFonts w:hint="default"/>
          <w:color w:val="auto"/>
          <w:highlight w:val="none"/>
          <w:lang w:val="zh-CN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AA7"/>
    <w:rsid w:val="000731D9"/>
    <w:rsid w:val="000C4503"/>
    <w:rsid w:val="0010167B"/>
    <w:rsid w:val="00106678"/>
    <w:rsid w:val="001A4DF9"/>
    <w:rsid w:val="001B2CFC"/>
    <w:rsid w:val="00204323"/>
    <w:rsid w:val="002330E9"/>
    <w:rsid w:val="002C64BA"/>
    <w:rsid w:val="003321E1"/>
    <w:rsid w:val="00383A8A"/>
    <w:rsid w:val="003F2EBA"/>
    <w:rsid w:val="00450B63"/>
    <w:rsid w:val="00457B7C"/>
    <w:rsid w:val="004702F9"/>
    <w:rsid w:val="004E3648"/>
    <w:rsid w:val="004E4D69"/>
    <w:rsid w:val="00505CF2"/>
    <w:rsid w:val="005121DE"/>
    <w:rsid w:val="005279A2"/>
    <w:rsid w:val="00586291"/>
    <w:rsid w:val="00654BEA"/>
    <w:rsid w:val="00656E59"/>
    <w:rsid w:val="006C65B7"/>
    <w:rsid w:val="00714F1D"/>
    <w:rsid w:val="0073128A"/>
    <w:rsid w:val="00754934"/>
    <w:rsid w:val="007643AC"/>
    <w:rsid w:val="008037C0"/>
    <w:rsid w:val="008157D2"/>
    <w:rsid w:val="008367FC"/>
    <w:rsid w:val="008A253E"/>
    <w:rsid w:val="00922E83"/>
    <w:rsid w:val="0096263C"/>
    <w:rsid w:val="009B37CF"/>
    <w:rsid w:val="009F6D04"/>
    <w:rsid w:val="00A42A56"/>
    <w:rsid w:val="00A52993"/>
    <w:rsid w:val="00A6004A"/>
    <w:rsid w:val="00A82ABD"/>
    <w:rsid w:val="00AE3A75"/>
    <w:rsid w:val="00AE4B28"/>
    <w:rsid w:val="00B225F4"/>
    <w:rsid w:val="00B520C2"/>
    <w:rsid w:val="00C00444"/>
    <w:rsid w:val="00C85F9F"/>
    <w:rsid w:val="00CB0B1B"/>
    <w:rsid w:val="00D72F00"/>
    <w:rsid w:val="00DA4F47"/>
    <w:rsid w:val="00DF4DC5"/>
    <w:rsid w:val="00E26928"/>
    <w:rsid w:val="00E610CB"/>
    <w:rsid w:val="00EC27E6"/>
    <w:rsid w:val="00EE642F"/>
    <w:rsid w:val="00EF116B"/>
    <w:rsid w:val="00F17055"/>
    <w:rsid w:val="00FB2809"/>
    <w:rsid w:val="00FD2AA7"/>
    <w:rsid w:val="00FE0044"/>
    <w:rsid w:val="00FE5A99"/>
    <w:rsid w:val="00FF0ACE"/>
    <w:rsid w:val="013B385C"/>
    <w:rsid w:val="04A97EE6"/>
    <w:rsid w:val="08786FE2"/>
    <w:rsid w:val="0C594D61"/>
    <w:rsid w:val="0C7420B3"/>
    <w:rsid w:val="0CCB0C78"/>
    <w:rsid w:val="10076341"/>
    <w:rsid w:val="131947E1"/>
    <w:rsid w:val="153760A0"/>
    <w:rsid w:val="179871CA"/>
    <w:rsid w:val="17F03758"/>
    <w:rsid w:val="1BA14D54"/>
    <w:rsid w:val="1D5E3028"/>
    <w:rsid w:val="214D076E"/>
    <w:rsid w:val="2234120F"/>
    <w:rsid w:val="28E9684C"/>
    <w:rsid w:val="2DEE6D71"/>
    <w:rsid w:val="2E784554"/>
    <w:rsid w:val="313F5D28"/>
    <w:rsid w:val="34E62976"/>
    <w:rsid w:val="386079F0"/>
    <w:rsid w:val="3DAE7BF5"/>
    <w:rsid w:val="3E09134A"/>
    <w:rsid w:val="3EB94BB9"/>
    <w:rsid w:val="4A822AC6"/>
    <w:rsid w:val="4ED671BB"/>
    <w:rsid w:val="50E60B51"/>
    <w:rsid w:val="5BDF27F8"/>
    <w:rsid w:val="60951155"/>
    <w:rsid w:val="63A349FE"/>
    <w:rsid w:val="65762FE2"/>
    <w:rsid w:val="6BE724A1"/>
    <w:rsid w:val="6D35277A"/>
    <w:rsid w:val="70A24B63"/>
    <w:rsid w:val="77065E4C"/>
    <w:rsid w:val="7A17211E"/>
    <w:rsid w:val="7AC1310D"/>
    <w:rsid w:val="7FEC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0"/>
    <w:rPr>
      <w:i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1492</Words>
  <Characters>1555</Characters>
  <Lines>11</Lines>
  <Paragraphs>3</Paragraphs>
  <TotalTime>3</TotalTime>
  <ScaleCrop>false</ScaleCrop>
  <LinksUpToDate>false</LinksUpToDate>
  <CharactersWithSpaces>1556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2024-06-05T08:37:00Z</dcterms:created>
  <dc:creator>邹洁</dc:creator>
  <cp:lastModifiedBy>Administrator</cp:lastModifiedBy>
  <dcterms:modified xsi:type="dcterms:W3CDTF">2025-07-02T02:23:47Z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KSOTemplateDocerSaveRecord">
    <vt:lpwstr>eyJoZGlkIjoiZGE5YmM0ODMzNjNhZGQ2Njc3YTRlYTJjOTY4ZmVhMGIiLCJ1c2VySWQiOiI0NjY0NjcxODMifQ==</vt:lpwstr>
  </property>
  <property fmtid="{D5CDD505-2E9C-101B-9397-08002B2CF9AE}" pid="4" name="ICV">
    <vt:lpwstr>A9C38D24FE4D45B0ADA29C8A6946E971</vt:lpwstr>
  </property>
</Properties>
</file>