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50BD6C">
      <w:pPr>
        <w:spacing w:line="580" w:lineRule="exact"/>
        <w:rPr>
          <w:rFonts w:ascii="仿宋_GB2312" w:eastAsia="仿宋_GB2312"/>
          <w:bCs/>
          <w:sz w:val="32"/>
          <w:szCs w:val="32"/>
        </w:rPr>
      </w:pPr>
      <w:r>
        <w:rPr>
          <w:rFonts w:hint="eastAsia" w:ascii="仿宋_GB2312" w:eastAsia="仿宋_GB2312"/>
          <w:bCs/>
          <w:sz w:val="32"/>
          <w:szCs w:val="32"/>
        </w:rPr>
        <w:t>附件：</w:t>
      </w:r>
    </w:p>
    <w:p w14:paraId="09577185">
      <w:pPr>
        <w:spacing w:line="580" w:lineRule="exact"/>
        <w:ind w:firstLine="883"/>
        <w:jc w:val="center"/>
        <w:rPr>
          <w:rFonts w:eastAsia="仿宋"/>
          <w:b/>
          <w:sz w:val="44"/>
          <w:szCs w:val="44"/>
          <w:highlight w:val="yellow"/>
        </w:rPr>
      </w:pPr>
    </w:p>
    <w:p w14:paraId="0A87162F">
      <w:pPr>
        <w:spacing w:line="580" w:lineRule="exact"/>
        <w:ind w:firstLine="883"/>
        <w:jc w:val="center"/>
        <w:rPr>
          <w:rFonts w:eastAsia="仿宋"/>
          <w:b/>
          <w:sz w:val="44"/>
          <w:szCs w:val="44"/>
          <w:highlight w:val="yellow"/>
        </w:rPr>
      </w:pPr>
    </w:p>
    <w:p w14:paraId="7DE523B7">
      <w:pPr>
        <w:spacing w:line="580" w:lineRule="exact"/>
        <w:ind w:firstLine="883"/>
        <w:jc w:val="center"/>
        <w:rPr>
          <w:rFonts w:eastAsia="仿宋"/>
          <w:b/>
          <w:sz w:val="44"/>
          <w:szCs w:val="44"/>
          <w:highlight w:val="yellow"/>
        </w:rPr>
      </w:pPr>
    </w:p>
    <w:p w14:paraId="7AF6D2A1">
      <w:pPr>
        <w:spacing w:line="580" w:lineRule="exact"/>
        <w:ind w:firstLine="883"/>
        <w:jc w:val="center"/>
        <w:rPr>
          <w:rFonts w:eastAsia="仿宋"/>
          <w:b/>
          <w:sz w:val="44"/>
          <w:szCs w:val="44"/>
          <w:highlight w:val="yellow"/>
        </w:rPr>
      </w:pPr>
    </w:p>
    <w:p w14:paraId="2BBC2EF5">
      <w:pPr>
        <w:spacing w:before="312" w:beforeLines="100" w:after="156" w:afterLines="50" w:line="700" w:lineRule="exact"/>
        <w:jc w:val="center"/>
        <w:rPr>
          <w:rFonts w:eastAsia="方正小标宋简体"/>
          <w:bCs/>
          <w:sz w:val="44"/>
          <w:szCs w:val="44"/>
        </w:rPr>
      </w:pPr>
      <w:bookmarkStart w:id="0" w:name="_Hlk139285685"/>
      <w:r>
        <w:rPr>
          <w:rFonts w:hint="eastAsia" w:eastAsia="方正小标宋简体"/>
          <w:bCs/>
          <w:sz w:val="44"/>
          <w:szCs w:val="44"/>
        </w:rPr>
        <w:t>溧阳埭头盐城科莱瑞环保有限公司</w:t>
      </w:r>
    </w:p>
    <w:p w14:paraId="0C783E01">
      <w:pPr>
        <w:spacing w:before="312" w:beforeLines="100" w:after="156" w:afterLines="50" w:line="700" w:lineRule="exact"/>
        <w:jc w:val="center"/>
        <w:rPr>
          <w:rFonts w:eastAsia="方正小标宋简体"/>
          <w:bCs/>
          <w:sz w:val="44"/>
          <w:szCs w:val="44"/>
        </w:rPr>
      </w:pPr>
      <w:r>
        <w:rPr>
          <w:rFonts w:hint="eastAsia" w:eastAsia="方正小标宋简体"/>
          <w:bCs/>
          <w:sz w:val="44"/>
          <w:szCs w:val="44"/>
        </w:rPr>
        <w:t>“6·14”一般触电伤害事故调查报告</w:t>
      </w:r>
    </w:p>
    <w:bookmarkEnd w:id="0"/>
    <w:p w14:paraId="01838B75">
      <w:pPr>
        <w:spacing w:line="580" w:lineRule="exact"/>
        <w:ind w:firstLine="560"/>
        <w:jc w:val="center"/>
        <w:rPr>
          <w:rFonts w:eastAsia="仿宋"/>
          <w:sz w:val="28"/>
          <w:szCs w:val="28"/>
          <w:u w:val="single"/>
        </w:rPr>
      </w:pPr>
    </w:p>
    <w:p w14:paraId="0988A907">
      <w:pPr>
        <w:spacing w:line="580" w:lineRule="exact"/>
        <w:ind w:firstLine="560"/>
        <w:jc w:val="center"/>
        <w:rPr>
          <w:rFonts w:eastAsia="仿宋"/>
          <w:sz w:val="28"/>
          <w:szCs w:val="28"/>
          <w:u w:val="single"/>
        </w:rPr>
      </w:pPr>
    </w:p>
    <w:p w14:paraId="14247813">
      <w:pPr>
        <w:spacing w:line="580" w:lineRule="exact"/>
        <w:ind w:firstLine="560"/>
        <w:jc w:val="center"/>
        <w:rPr>
          <w:rFonts w:eastAsia="仿宋"/>
          <w:sz w:val="28"/>
          <w:szCs w:val="28"/>
          <w:u w:val="single"/>
        </w:rPr>
      </w:pPr>
    </w:p>
    <w:p w14:paraId="0E9B5488">
      <w:pPr>
        <w:spacing w:line="580" w:lineRule="exact"/>
        <w:ind w:firstLine="560"/>
        <w:jc w:val="center"/>
        <w:rPr>
          <w:rFonts w:eastAsia="仿宋"/>
          <w:sz w:val="28"/>
          <w:szCs w:val="28"/>
          <w:u w:val="single"/>
        </w:rPr>
      </w:pPr>
    </w:p>
    <w:p w14:paraId="47A84FDC">
      <w:pPr>
        <w:spacing w:line="580" w:lineRule="exact"/>
        <w:ind w:firstLine="640"/>
        <w:jc w:val="center"/>
        <w:rPr>
          <w:rFonts w:eastAsia="仿宋_GB2312"/>
          <w:sz w:val="32"/>
          <w:szCs w:val="32"/>
        </w:rPr>
      </w:pPr>
    </w:p>
    <w:p w14:paraId="5F67DFD4">
      <w:pPr>
        <w:spacing w:line="580" w:lineRule="exact"/>
        <w:ind w:firstLine="560"/>
        <w:rPr>
          <w:rFonts w:eastAsia="仿宋"/>
          <w:sz w:val="28"/>
          <w:szCs w:val="28"/>
          <w:u w:val="single"/>
        </w:rPr>
      </w:pPr>
    </w:p>
    <w:p w14:paraId="28107731">
      <w:pPr>
        <w:spacing w:line="580" w:lineRule="exact"/>
        <w:ind w:firstLine="560"/>
        <w:jc w:val="center"/>
        <w:rPr>
          <w:rFonts w:eastAsia="仿宋"/>
          <w:sz w:val="28"/>
          <w:szCs w:val="28"/>
          <w:u w:val="single"/>
        </w:rPr>
      </w:pPr>
    </w:p>
    <w:p w14:paraId="4198987A">
      <w:pPr>
        <w:spacing w:line="580" w:lineRule="exact"/>
        <w:rPr>
          <w:rFonts w:eastAsia="仿宋"/>
          <w:sz w:val="28"/>
          <w:szCs w:val="28"/>
          <w:u w:val="single"/>
        </w:rPr>
      </w:pPr>
    </w:p>
    <w:p w14:paraId="641A216B">
      <w:pPr>
        <w:spacing w:line="580" w:lineRule="exact"/>
        <w:ind w:firstLine="560"/>
        <w:jc w:val="center"/>
        <w:rPr>
          <w:rFonts w:eastAsia="仿宋"/>
          <w:sz w:val="28"/>
          <w:szCs w:val="28"/>
          <w:u w:val="single"/>
        </w:rPr>
      </w:pPr>
    </w:p>
    <w:p w14:paraId="679D85B4">
      <w:pPr>
        <w:ind w:firstLine="640"/>
        <w:jc w:val="center"/>
        <w:rPr>
          <w:sz w:val="32"/>
          <w:szCs w:val="32"/>
        </w:rPr>
      </w:pPr>
      <w:bookmarkStart w:id="1" w:name="_Toc1797"/>
      <w:bookmarkStart w:id="2" w:name="_Toc9918"/>
      <w:bookmarkStart w:id="3" w:name="_Toc6269"/>
      <w:bookmarkStart w:id="4" w:name="_Toc26463"/>
      <w:bookmarkStart w:id="5" w:name="_Toc31880"/>
      <w:bookmarkStart w:id="6" w:name="_Toc7729"/>
      <w:r>
        <w:rPr>
          <w:sz w:val="32"/>
          <w:szCs w:val="32"/>
        </w:rPr>
        <w:t>溧阳市政府事故调查组</w:t>
      </w:r>
      <w:bookmarkEnd w:id="1"/>
      <w:bookmarkEnd w:id="2"/>
      <w:bookmarkEnd w:id="3"/>
      <w:bookmarkEnd w:id="4"/>
      <w:bookmarkEnd w:id="5"/>
      <w:bookmarkEnd w:id="6"/>
    </w:p>
    <w:p w14:paraId="14AD15C6">
      <w:pPr>
        <w:ind w:firstLine="640"/>
        <w:jc w:val="cente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numberInDash" w:start="0"/>
          <w:cols w:space="720" w:num="1"/>
          <w:titlePg/>
          <w:docGrid w:type="lines" w:linePitch="312" w:charSpace="0"/>
        </w:sectPr>
      </w:pPr>
      <w:r>
        <w:rPr>
          <w:sz w:val="32"/>
          <w:szCs w:val="32"/>
        </w:rPr>
        <w:t>202</w:t>
      </w:r>
      <w:r>
        <w:rPr>
          <w:rFonts w:hint="eastAsia"/>
          <w:sz w:val="32"/>
          <w:szCs w:val="32"/>
        </w:rPr>
        <w:t>5</w:t>
      </w:r>
      <w:r>
        <w:rPr>
          <w:sz w:val="32"/>
          <w:szCs w:val="32"/>
        </w:rPr>
        <w:t>年</w:t>
      </w:r>
      <w:r>
        <w:rPr>
          <w:rFonts w:hint="eastAsia"/>
          <w:sz w:val="32"/>
          <w:szCs w:val="32"/>
        </w:rPr>
        <w:t>8</w:t>
      </w:r>
      <w:r>
        <w:rPr>
          <w:sz w:val="32"/>
          <w:szCs w:val="32"/>
        </w:rPr>
        <w:t>月</w:t>
      </w:r>
    </w:p>
    <w:p w14:paraId="04378F3A">
      <w:pPr>
        <w:spacing w:line="580" w:lineRule="exact"/>
        <w:ind w:firstLine="880"/>
        <w:rPr>
          <w:rFonts w:eastAsia="仿宋"/>
          <w:sz w:val="44"/>
        </w:rPr>
      </w:pPr>
    </w:p>
    <w:p w14:paraId="58E9AD7A">
      <w:pPr>
        <w:spacing w:line="580" w:lineRule="exact"/>
        <w:ind w:firstLine="883"/>
        <w:jc w:val="center"/>
        <w:rPr>
          <w:rFonts w:hint="eastAsia" w:ascii="方正小标宋_GBK" w:hAnsi="方正小标宋_GBK" w:eastAsia="方正小标宋_GBK" w:cs="宋体"/>
          <w:b/>
          <w:bCs/>
          <w:sz w:val="44"/>
          <w:szCs w:val="44"/>
        </w:rPr>
      </w:pPr>
      <w:r>
        <w:rPr>
          <w:rFonts w:hint="eastAsia" w:ascii="方正小标宋_GBK" w:hAnsi="方正小标宋_GBK" w:eastAsia="方正小标宋_GBK" w:cs="宋体"/>
          <w:b/>
          <w:bCs/>
          <w:sz w:val="44"/>
          <w:szCs w:val="44"/>
        </w:rPr>
        <w:t>目 录</w:t>
      </w:r>
    </w:p>
    <w:p w14:paraId="006826D6">
      <w:pPr>
        <w:pStyle w:val="7"/>
        <w:tabs>
          <w:tab w:val="right" w:leader="dot" w:pos="8296"/>
        </w:tabs>
        <w:rPr>
          <w:rFonts w:asciiTheme="minorHAnsi" w:hAnsiTheme="minorHAnsi" w:eastAsiaTheme="minorEastAsia" w:cstheme="minorBidi"/>
          <w:sz w:val="24"/>
          <w14:ligatures w14:val="standardContextual"/>
        </w:rPr>
      </w:pPr>
      <w:r>
        <w:rPr>
          <w:rFonts w:eastAsia="仿宋"/>
          <w:sz w:val="32"/>
          <w:szCs w:val="32"/>
        </w:rPr>
        <w:fldChar w:fldCharType="begin"/>
      </w:r>
      <w:r>
        <w:rPr>
          <w:rFonts w:eastAsia="仿宋"/>
          <w:sz w:val="32"/>
          <w:szCs w:val="32"/>
        </w:rPr>
        <w:instrText xml:space="preserve">TOC \o "1-3" \h \u </w:instrText>
      </w:r>
      <w:r>
        <w:rPr>
          <w:rFonts w:eastAsia="仿宋"/>
          <w:sz w:val="32"/>
          <w:szCs w:val="32"/>
        </w:rPr>
        <w:fldChar w:fldCharType="separate"/>
      </w:r>
      <w:r>
        <w:fldChar w:fldCharType="begin"/>
      </w:r>
      <w:r>
        <w:instrText xml:space="preserve"> HYPERLINK \l "_Toc207198102" </w:instrText>
      </w:r>
      <w:r>
        <w:fldChar w:fldCharType="separate"/>
      </w:r>
      <w:r>
        <w:rPr>
          <w:rStyle w:val="18"/>
          <w:rFonts w:hint="eastAsia" w:ascii="黑体" w:hAnsi="黑体" w:eastAsia="黑体" w:cs="黑体"/>
          <w:bCs/>
          <w:sz w:val="24"/>
        </w:rPr>
        <w:t>一、事故基本情况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_Toc207198102 \h</w:instrText>
      </w:r>
      <w:r>
        <w:rPr>
          <w:rFonts w:hint="eastAsia"/>
          <w:sz w:val="24"/>
        </w:rPr>
        <w:instrText xml:space="preserve"> </w:instrText>
      </w:r>
      <w:r>
        <w:rPr>
          <w:rFonts w:hint="eastAsia"/>
          <w:sz w:val="24"/>
        </w:rPr>
        <w:fldChar w:fldCharType="separate"/>
      </w:r>
      <w:r>
        <w:rPr>
          <w:sz w:val="24"/>
        </w:rPr>
        <w:t>- 2 -</w:t>
      </w:r>
      <w:r>
        <w:rPr>
          <w:rFonts w:hint="eastAsia"/>
          <w:sz w:val="24"/>
        </w:rPr>
        <w:fldChar w:fldCharType="end"/>
      </w:r>
      <w:r>
        <w:rPr>
          <w:rFonts w:hint="eastAsia"/>
          <w:sz w:val="24"/>
        </w:rPr>
        <w:fldChar w:fldCharType="end"/>
      </w:r>
    </w:p>
    <w:p w14:paraId="7EB7142C">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"_Toc207198103" </w:instrText>
      </w:r>
      <w:r>
        <w:fldChar w:fldCharType="separate"/>
      </w:r>
      <w:r>
        <w:rPr>
          <w:rStyle w:val="18"/>
          <w:rFonts w:hint="eastAsia" w:ascii="楷体" w:hAnsi="楷体" w:eastAsia="楷体" w:cs="楷体"/>
          <w:bCs/>
          <w:sz w:val="24"/>
        </w:rPr>
        <w:t>（一）事故发生相关单位概况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_Toc207198103 \h</w:instrText>
      </w:r>
      <w:r>
        <w:rPr>
          <w:rFonts w:hint="eastAsia"/>
          <w:sz w:val="24"/>
        </w:rPr>
        <w:instrText xml:space="preserve"> </w:instrText>
      </w:r>
      <w:r>
        <w:rPr>
          <w:rFonts w:hint="eastAsia"/>
          <w:sz w:val="24"/>
        </w:rPr>
        <w:fldChar w:fldCharType="separate"/>
      </w:r>
      <w:r>
        <w:rPr>
          <w:sz w:val="24"/>
        </w:rPr>
        <w:t>- 2 -</w:t>
      </w:r>
      <w:r>
        <w:rPr>
          <w:rFonts w:hint="eastAsia"/>
          <w:sz w:val="24"/>
        </w:rPr>
        <w:fldChar w:fldCharType="end"/>
      </w:r>
      <w:r>
        <w:rPr>
          <w:rFonts w:hint="eastAsia"/>
          <w:sz w:val="24"/>
        </w:rPr>
        <w:fldChar w:fldCharType="end"/>
      </w:r>
    </w:p>
    <w:p w14:paraId="67BF47E3">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"_Toc207198104" </w:instrText>
      </w:r>
      <w:r>
        <w:fldChar w:fldCharType="separate"/>
      </w:r>
      <w:r>
        <w:rPr>
          <w:rStyle w:val="18"/>
          <w:rFonts w:hint="eastAsia" w:ascii="楷体" w:hAnsi="楷体" w:eastAsia="楷体" w:cs="楷体"/>
          <w:bCs/>
          <w:sz w:val="24"/>
        </w:rPr>
        <w:t>（二）人员伤亡和直接经济损失情况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_Toc207198104 \h</w:instrText>
      </w:r>
      <w:r>
        <w:rPr>
          <w:rFonts w:hint="eastAsia"/>
          <w:sz w:val="24"/>
        </w:rPr>
        <w:instrText xml:space="preserve"> </w:instrText>
      </w:r>
      <w:r>
        <w:rPr>
          <w:rFonts w:hint="eastAsia"/>
          <w:sz w:val="24"/>
        </w:rPr>
        <w:fldChar w:fldCharType="separate"/>
      </w:r>
      <w:r>
        <w:rPr>
          <w:sz w:val="24"/>
        </w:rPr>
        <w:t>- 3 -</w:t>
      </w:r>
      <w:r>
        <w:rPr>
          <w:rFonts w:hint="eastAsia"/>
          <w:sz w:val="24"/>
        </w:rPr>
        <w:fldChar w:fldCharType="end"/>
      </w:r>
      <w:r>
        <w:rPr>
          <w:rFonts w:hint="eastAsia"/>
          <w:sz w:val="24"/>
        </w:rPr>
        <w:fldChar w:fldCharType="end"/>
      </w:r>
    </w:p>
    <w:p w14:paraId="3769A6C8">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"_Toc207198105" </w:instrText>
      </w:r>
      <w:r>
        <w:fldChar w:fldCharType="separate"/>
      </w:r>
      <w:r>
        <w:rPr>
          <w:rStyle w:val="18"/>
          <w:rFonts w:hint="eastAsia" w:ascii="楷体" w:hAnsi="楷体" w:eastAsia="楷体" w:cs="楷体"/>
          <w:bCs/>
          <w:sz w:val="24"/>
        </w:rPr>
        <w:t>（三）尸检情况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_Toc207198105 \h</w:instrText>
      </w:r>
      <w:r>
        <w:rPr>
          <w:rFonts w:hint="eastAsia"/>
          <w:sz w:val="24"/>
        </w:rPr>
        <w:instrText xml:space="preserve"> </w:instrText>
      </w:r>
      <w:r>
        <w:rPr>
          <w:rFonts w:hint="eastAsia"/>
          <w:sz w:val="24"/>
        </w:rPr>
        <w:fldChar w:fldCharType="separate"/>
      </w:r>
      <w:r>
        <w:rPr>
          <w:sz w:val="24"/>
        </w:rPr>
        <w:t>- 3 -</w:t>
      </w:r>
      <w:r>
        <w:rPr>
          <w:rFonts w:hint="eastAsia"/>
          <w:sz w:val="24"/>
        </w:rPr>
        <w:fldChar w:fldCharType="end"/>
      </w:r>
      <w:r>
        <w:rPr>
          <w:rFonts w:hint="eastAsia"/>
          <w:sz w:val="24"/>
        </w:rPr>
        <w:fldChar w:fldCharType="end"/>
      </w:r>
    </w:p>
    <w:p w14:paraId="6DE1B3B2">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"_Toc207198106" </w:instrText>
      </w:r>
      <w:r>
        <w:fldChar w:fldCharType="separate"/>
      </w:r>
      <w:r>
        <w:rPr>
          <w:rStyle w:val="18"/>
          <w:rFonts w:hint="eastAsia" w:ascii="楷体" w:hAnsi="楷体" w:eastAsia="楷体" w:cs="楷体"/>
          <w:sz w:val="24"/>
        </w:rPr>
        <w:t>（四）项目基本情况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_Toc207198106 \h</w:instrText>
      </w:r>
      <w:r>
        <w:rPr>
          <w:rFonts w:hint="eastAsia"/>
          <w:sz w:val="24"/>
        </w:rPr>
        <w:instrText xml:space="preserve"> </w:instrText>
      </w:r>
      <w:r>
        <w:rPr>
          <w:rFonts w:hint="eastAsia"/>
          <w:sz w:val="24"/>
        </w:rPr>
        <w:fldChar w:fldCharType="separate"/>
      </w:r>
      <w:r>
        <w:rPr>
          <w:sz w:val="24"/>
        </w:rPr>
        <w:t>- 3 -</w:t>
      </w:r>
      <w:r>
        <w:rPr>
          <w:rFonts w:hint="eastAsia"/>
          <w:sz w:val="24"/>
        </w:rPr>
        <w:fldChar w:fldCharType="end"/>
      </w:r>
      <w:r>
        <w:rPr>
          <w:rFonts w:hint="eastAsia"/>
          <w:sz w:val="24"/>
        </w:rPr>
        <w:fldChar w:fldCharType="end"/>
      </w:r>
    </w:p>
    <w:p w14:paraId="62E58AF6">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"_Toc207198107" </w:instrText>
      </w:r>
      <w:r>
        <w:fldChar w:fldCharType="separate"/>
      </w:r>
      <w:r>
        <w:rPr>
          <w:rStyle w:val="18"/>
          <w:rFonts w:hint="eastAsia" w:ascii="楷体" w:hAnsi="楷体" w:eastAsia="楷体" w:cs="楷体"/>
          <w:sz w:val="24"/>
        </w:rPr>
        <w:t>（五）项目安全管理情况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_Toc207198107 \h</w:instrText>
      </w:r>
      <w:r>
        <w:rPr>
          <w:rFonts w:hint="eastAsia"/>
          <w:sz w:val="24"/>
        </w:rPr>
        <w:instrText xml:space="preserve"> </w:instrText>
      </w:r>
      <w:r>
        <w:rPr>
          <w:rFonts w:hint="eastAsia"/>
          <w:sz w:val="24"/>
        </w:rPr>
        <w:fldChar w:fldCharType="separate"/>
      </w:r>
      <w:r>
        <w:rPr>
          <w:sz w:val="24"/>
        </w:rPr>
        <w:t>- 4 -</w:t>
      </w:r>
      <w:r>
        <w:rPr>
          <w:rFonts w:hint="eastAsia"/>
          <w:sz w:val="24"/>
        </w:rPr>
        <w:fldChar w:fldCharType="end"/>
      </w:r>
      <w:r>
        <w:rPr>
          <w:rFonts w:hint="eastAsia"/>
          <w:sz w:val="24"/>
        </w:rPr>
        <w:fldChar w:fldCharType="end"/>
      </w:r>
    </w:p>
    <w:p w14:paraId="0C9B9F2C">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"_Toc207198108" </w:instrText>
      </w:r>
      <w:r>
        <w:fldChar w:fldCharType="separate"/>
      </w:r>
      <w:r>
        <w:rPr>
          <w:rStyle w:val="18"/>
          <w:rFonts w:hint="eastAsia" w:ascii="楷体" w:hAnsi="楷体" w:eastAsia="楷体" w:cs="楷体"/>
          <w:sz w:val="24"/>
        </w:rPr>
        <w:t>（六）事故现场情况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_Toc207198108 \h</w:instrText>
      </w:r>
      <w:r>
        <w:rPr>
          <w:rFonts w:hint="eastAsia"/>
          <w:sz w:val="24"/>
        </w:rPr>
        <w:instrText xml:space="preserve"> </w:instrText>
      </w:r>
      <w:r>
        <w:rPr>
          <w:rFonts w:hint="eastAsia"/>
          <w:sz w:val="24"/>
        </w:rPr>
        <w:fldChar w:fldCharType="separate"/>
      </w:r>
      <w:r>
        <w:rPr>
          <w:sz w:val="24"/>
        </w:rPr>
        <w:t>- 4 -</w:t>
      </w:r>
      <w:r>
        <w:rPr>
          <w:rFonts w:hint="eastAsia"/>
          <w:sz w:val="24"/>
        </w:rPr>
        <w:fldChar w:fldCharType="end"/>
      </w:r>
      <w:r>
        <w:rPr>
          <w:rFonts w:hint="eastAsia"/>
          <w:sz w:val="24"/>
        </w:rPr>
        <w:fldChar w:fldCharType="end"/>
      </w:r>
    </w:p>
    <w:p w14:paraId="09D244CE">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"_Toc207198109" </w:instrText>
      </w:r>
      <w:r>
        <w:fldChar w:fldCharType="separate"/>
      </w:r>
      <w:r>
        <w:rPr>
          <w:rStyle w:val="18"/>
          <w:rFonts w:hint="eastAsia" w:ascii="楷体" w:hAnsi="楷体" w:eastAsia="楷体" w:cs="楷体"/>
          <w:sz w:val="24"/>
        </w:rPr>
        <w:t>（七）抛丸机基本情况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_Toc207198109 \h</w:instrText>
      </w:r>
      <w:r>
        <w:rPr>
          <w:rFonts w:hint="eastAsia"/>
          <w:sz w:val="24"/>
        </w:rPr>
        <w:instrText xml:space="preserve"> </w:instrText>
      </w:r>
      <w:r>
        <w:rPr>
          <w:rFonts w:hint="eastAsia"/>
          <w:sz w:val="24"/>
        </w:rPr>
        <w:fldChar w:fldCharType="separate"/>
      </w:r>
      <w:r>
        <w:rPr>
          <w:sz w:val="24"/>
        </w:rPr>
        <w:t>- 6 -</w:t>
      </w:r>
      <w:r>
        <w:rPr>
          <w:rFonts w:hint="eastAsia"/>
          <w:sz w:val="24"/>
        </w:rPr>
        <w:fldChar w:fldCharType="end"/>
      </w:r>
      <w:r>
        <w:rPr>
          <w:rFonts w:hint="eastAsia"/>
          <w:sz w:val="24"/>
        </w:rPr>
        <w:fldChar w:fldCharType="end"/>
      </w:r>
    </w:p>
    <w:p w14:paraId="5071BED6">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"_Toc207198110" </w:instrText>
      </w:r>
      <w:r>
        <w:fldChar w:fldCharType="separate"/>
      </w:r>
      <w:r>
        <w:rPr>
          <w:rStyle w:val="18"/>
          <w:rFonts w:hint="eastAsia" w:ascii="楷体" w:hAnsi="楷体" w:eastAsia="楷体" w:cs="楷体"/>
          <w:sz w:val="24"/>
        </w:rPr>
        <w:t>（八）电气线路基本情况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_Toc207198110 \h</w:instrText>
      </w:r>
      <w:r>
        <w:rPr>
          <w:rFonts w:hint="eastAsia"/>
          <w:sz w:val="24"/>
        </w:rPr>
        <w:instrText xml:space="preserve"> </w:instrText>
      </w:r>
      <w:r>
        <w:rPr>
          <w:rFonts w:hint="eastAsia"/>
          <w:sz w:val="24"/>
        </w:rPr>
        <w:fldChar w:fldCharType="separate"/>
      </w:r>
      <w:r>
        <w:rPr>
          <w:sz w:val="24"/>
        </w:rPr>
        <w:t>- 7 -</w:t>
      </w:r>
      <w:r>
        <w:rPr>
          <w:rFonts w:hint="eastAsia"/>
          <w:sz w:val="24"/>
        </w:rPr>
        <w:fldChar w:fldCharType="end"/>
      </w:r>
      <w:r>
        <w:rPr>
          <w:rFonts w:hint="eastAsia"/>
          <w:sz w:val="24"/>
        </w:rPr>
        <w:fldChar w:fldCharType="end"/>
      </w:r>
    </w:p>
    <w:p w14:paraId="549A214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"_Toc207198111" </w:instrText>
      </w:r>
      <w:r>
        <w:fldChar w:fldCharType="separate"/>
      </w:r>
      <w:r>
        <w:rPr>
          <w:rStyle w:val="18"/>
          <w:rFonts w:hint="eastAsia" w:ascii="楷体" w:hAnsi="楷体" w:eastAsia="楷体" w:cs="楷体"/>
          <w:sz w:val="24"/>
        </w:rPr>
        <w:t>（九）作业进程</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_Toc207198111 \h</w:instrText>
      </w:r>
      <w:r>
        <w:rPr>
          <w:rFonts w:hint="eastAsia"/>
          <w:sz w:val="24"/>
        </w:rPr>
        <w:instrText xml:space="preserve"> </w:instrText>
      </w:r>
      <w:r>
        <w:rPr>
          <w:rFonts w:hint="eastAsia"/>
          <w:sz w:val="24"/>
        </w:rPr>
        <w:fldChar w:fldCharType="separate"/>
      </w:r>
      <w:r>
        <w:rPr>
          <w:sz w:val="24"/>
        </w:rPr>
        <w:t>- 9 -</w:t>
      </w:r>
      <w:r>
        <w:rPr>
          <w:rFonts w:hint="eastAsia"/>
          <w:sz w:val="24"/>
        </w:rPr>
        <w:fldChar w:fldCharType="end"/>
      </w:r>
      <w:r>
        <w:rPr>
          <w:rFonts w:hint="eastAsia"/>
          <w:sz w:val="24"/>
        </w:rPr>
        <w:fldChar w:fldCharType="end"/>
      </w:r>
    </w:p>
    <w:p w14:paraId="5E7C2678">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"_Toc207198112" </w:instrText>
      </w:r>
      <w:r>
        <w:fldChar w:fldCharType="separate"/>
      </w:r>
      <w:r>
        <w:rPr>
          <w:rStyle w:val="18"/>
          <w:rFonts w:hint="eastAsia" w:ascii="黑体" w:hAnsi="黑体" w:eastAsia="黑体" w:cs="黑体"/>
          <w:bCs/>
          <w:sz w:val="24"/>
        </w:rPr>
        <w:t>二、事故发生经过及应急处置</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_Toc207198112 \h</w:instrText>
      </w:r>
      <w:r>
        <w:rPr>
          <w:rFonts w:hint="eastAsia"/>
          <w:sz w:val="24"/>
        </w:rPr>
        <w:instrText xml:space="preserve"> </w:instrText>
      </w:r>
      <w:r>
        <w:rPr>
          <w:rFonts w:hint="eastAsia"/>
          <w:sz w:val="24"/>
        </w:rPr>
        <w:fldChar w:fldCharType="separate"/>
      </w:r>
      <w:r>
        <w:rPr>
          <w:sz w:val="24"/>
        </w:rPr>
        <w:t>- 10 -</w:t>
      </w:r>
      <w:r>
        <w:rPr>
          <w:rFonts w:hint="eastAsia"/>
          <w:sz w:val="24"/>
        </w:rPr>
        <w:fldChar w:fldCharType="end"/>
      </w:r>
      <w:r>
        <w:rPr>
          <w:rFonts w:hint="eastAsia"/>
          <w:sz w:val="24"/>
        </w:rPr>
        <w:fldChar w:fldCharType="end"/>
      </w:r>
    </w:p>
    <w:p w14:paraId="750A187B">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"_Toc207198113" </w:instrText>
      </w:r>
      <w:r>
        <w:fldChar w:fldCharType="separate"/>
      </w:r>
      <w:r>
        <w:rPr>
          <w:rStyle w:val="18"/>
          <w:rFonts w:hint="eastAsia" w:ascii="楷体" w:hAnsi="楷体" w:eastAsia="楷体" w:cs="楷体"/>
          <w:bCs/>
          <w:sz w:val="24"/>
        </w:rPr>
        <w:t>（一）事故发生经过</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_Toc207198113 \h</w:instrText>
      </w:r>
      <w:r>
        <w:rPr>
          <w:rFonts w:hint="eastAsia"/>
          <w:sz w:val="24"/>
        </w:rPr>
        <w:instrText xml:space="preserve"> </w:instrText>
      </w:r>
      <w:r>
        <w:rPr>
          <w:rFonts w:hint="eastAsia"/>
          <w:sz w:val="24"/>
        </w:rPr>
        <w:fldChar w:fldCharType="separate"/>
      </w:r>
      <w:r>
        <w:rPr>
          <w:sz w:val="24"/>
        </w:rPr>
        <w:t>- 10 -</w:t>
      </w:r>
      <w:r>
        <w:rPr>
          <w:rFonts w:hint="eastAsia"/>
          <w:sz w:val="24"/>
        </w:rPr>
        <w:fldChar w:fldCharType="end"/>
      </w:r>
      <w:r>
        <w:rPr>
          <w:rFonts w:hint="eastAsia"/>
          <w:sz w:val="24"/>
        </w:rPr>
        <w:fldChar w:fldCharType="end"/>
      </w:r>
    </w:p>
    <w:p w14:paraId="5C574128">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"_Toc207198114" </w:instrText>
      </w:r>
      <w:r>
        <w:fldChar w:fldCharType="separate"/>
      </w:r>
      <w:r>
        <w:rPr>
          <w:rStyle w:val="18"/>
          <w:rFonts w:hint="eastAsia" w:ascii="楷体" w:hAnsi="楷体" w:eastAsia="楷体" w:cs="楷体"/>
          <w:bCs/>
          <w:sz w:val="24"/>
        </w:rPr>
        <w:t>（二）现场处置情况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_Toc207198114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6FE2D798">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"_Toc207198115" </w:instrText>
      </w:r>
      <w:r>
        <w:fldChar w:fldCharType="separate"/>
      </w:r>
      <w:r>
        <w:rPr>
          <w:rStyle w:val="18"/>
          <w:rFonts w:hint="eastAsia" w:ascii="楷体" w:hAnsi="楷体" w:eastAsia="楷体" w:cs="楷体"/>
          <w:bCs/>
          <w:sz w:val="24"/>
        </w:rPr>
        <w:t>（三）善后情况</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_Toc207198115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09229314">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"_Toc207198116" </w:instrText>
      </w:r>
      <w:r>
        <w:fldChar w:fldCharType="separate"/>
      </w:r>
      <w:r>
        <w:rPr>
          <w:rStyle w:val="18"/>
          <w:rFonts w:hint="eastAsia" w:ascii="黑体" w:hAnsi="黑体" w:eastAsia="黑体" w:cs="黑体"/>
          <w:bCs/>
          <w:sz w:val="24"/>
        </w:rPr>
        <w:t>三、事故原因分析</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_Toc207198116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3FFEFB9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"_Toc207198117" </w:instrText>
      </w:r>
      <w:r>
        <w:fldChar w:fldCharType="separate"/>
      </w:r>
      <w:r>
        <w:rPr>
          <w:rStyle w:val="18"/>
          <w:rFonts w:hint="eastAsia" w:eastAsia="楷体"/>
          <w:bCs/>
          <w:sz w:val="24"/>
        </w:rPr>
        <w:t>（一）直接原因</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_Toc207198117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3F652F3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"_Toc207198118" </w:instrText>
      </w:r>
      <w:r>
        <w:fldChar w:fldCharType="separate"/>
      </w:r>
      <w:r>
        <w:rPr>
          <w:rStyle w:val="18"/>
          <w:rFonts w:hint="eastAsia" w:eastAsia="楷体"/>
          <w:bCs/>
          <w:sz w:val="24"/>
        </w:rPr>
        <w:t>（二）</w:t>
      </w:r>
      <w:r>
        <w:rPr>
          <w:rStyle w:val="18"/>
          <w:rFonts w:hint="eastAsia" w:ascii="楷体" w:hAnsi="楷体" w:eastAsia="楷体" w:cs="楷体"/>
          <w:bCs/>
          <w:sz w:val="24"/>
        </w:rPr>
        <w:t>间接原因</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_Toc207198118 \h</w:instrText>
      </w:r>
      <w:r>
        <w:rPr>
          <w:rFonts w:hint="eastAsia"/>
          <w:sz w:val="24"/>
        </w:rPr>
        <w:instrText xml:space="preserve"> </w:instrText>
      </w:r>
      <w:r>
        <w:rPr>
          <w:rFonts w:hint="eastAsia"/>
          <w:sz w:val="24"/>
        </w:rPr>
        <w:fldChar w:fldCharType="separate"/>
      </w:r>
      <w:r>
        <w:rPr>
          <w:sz w:val="24"/>
        </w:rPr>
        <w:t>- 11 -</w:t>
      </w:r>
      <w:r>
        <w:rPr>
          <w:rFonts w:hint="eastAsia"/>
          <w:sz w:val="24"/>
        </w:rPr>
        <w:fldChar w:fldCharType="end"/>
      </w:r>
      <w:r>
        <w:rPr>
          <w:rFonts w:hint="eastAsia"/>
          <w:sz w:val="24"/>
        </w:rPr>
        <w:fldChar w:fldCharType="end"/>
      </w:r>
    </w:p>
    <w:p w14:paraId="18FDB897">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"_Toc207198119" </w:instrText>
      </w:r>
      <w:r>
        <w:fldChar w:fldCharType="separate"/>
      </w:r>
      <w:r>
        <w:rPr>
          <w:rStyle w:val="18"/>
          <w:rFonts w:hint="eastAsia" w:ascii="黑体" w:hAnsi="黑体" w:eastAsia="黑体" w:cs="黑体"/>
          <w:bCs/>
          <w:sz w:val="24"/>
        </w:rPr>
        <w:t>四、对事故有关责任人员和责任单位的处理建议</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_Toc207198119 \h</w:instrText>
      </w:r>
      <w:r>
        <w:rPr>
          <w:rFonts w:hint="eastAsia"/>
          <w:sz w:val="24"/>
        </w:rPr>
        <w:instrText xml:space="preserve"> </w:instrText>
      </w:r>
      <w:r>
        <w:rPr>
          <w:rFonts w:hint="eastAsia"/>
          <w:sz w:val="24"/>
        </w:rPr>
        <w:fldChar w:fldCharType="separate"/>
      </w:r>
      <w:r>
        <w:rPr>
          <w:sz w:val="24"/>
        </w:rPr>
        <w:t>- 12 -</w:t>
      </w:r>
      <w:r>
        <w:rPr>
          <w:rFonts w:hint="eastAsia"/>
          <w:sz w:val="24"/>
        </w:rPr>
        <w:fldChar w:fldCharType="end"/>
      </w:r>
      <w:r>
        <w:rPr>
          <w:rFonts w:hint="eastAsia"/>
          <w:sz w:val="24"/>
        </w:rPr>
        <w:fldChar w:fldCharType="end"/>
      </w:r>
    </w:p>
    <w:p w14:paraId="2808731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"_Toc207198120" </w:instrText>
      </w:r>
      <w:r>
        <w:fldChar w:fldCharType="separate"/>
      </w:r>
      <w:r>
        <w:rPr>
          <w:rStyle w:val="18"/>
          <w:rFonts w:hint="eastAsia" w:ascii="楷体" w:hAnsi="楷体" w:eastAsia="楷体" w:cs="楷体"/>
          <w:bCs/>
          <w:sz w:val="24"/>
        </w:rPr>
        <w:t>（一）对事故有关责任人员处理建议</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_Toc207198120 \h</w:instrText>
      </w:r>
      <w:r>
        <w:rPr>
          <w:rFonts w:hint="eastAsia"/>
          <w:sz w:val="24"/>
        </w:rPr>
        <w:instrText xml:space="preserve"> </w:instrText>
      </w:r>
      <w:r>
        <w:rPr>
          <w:rFonts w:hint="eastAsia"/>
          <w:sz w:val="24"/>
        </w:rPr>
        <w:fldChar w:fldCharType="separate"/>
      </w:r>
      <w:r>
        <w:rPr>
          <w:sz w:val="24"/>
        </w:rPr>
        <w:t>- 12 -</w:t>
      </w:r>
      <w:r>
        <w:rPr>
          <w:rFonts w:hint="eastAsia"/>
          <w:sz w:val="24"/>
        </w:rPr>
        <w:fldChar w:fldCharType="end"/>
      </w:r>
      <w:r>
        <w:rPr>
          <w:rFonts w:hint="eastAsia"/>
          <w:sz w:val="24"/>
        </w:rPr>
        <w:fldChar w:fldCharType="end"/>
      </w:r>
    </w:p>
    <w:p w14:paraId="0C7AB57A">
      <w:pPr>
        <w:pStyle w:val="9"/>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"_Toc207198121" </w:instrText>
      </w:r>
      <w:r>
        <w:fldChar w:fldCharType="separate"/>
      </w:r>
      <w:r>
        <w:rPr>
          <w:rStyle w:val="18"/>
          <w:rFonts w:hint="eastAsia" w:ascii="楷体" w:hAnsi="楷体" w:eastAsia="楷体" w:cs="楷体"/>
          <w:bCs/>
          <w:sz w:val="24"/>
        </w:rPr>
        <w:t>（二）对事故单位处理意见</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_Toc207198121 \h</w:instrText>
      </w:r>
      <w:r>
        <w:rPr>
          <w:rFonts w:hint="eastAsia"/>
          <w:sz w:val="24"/>
        </w:rPr>
        <w:instrText xml:space="preserve"> </w:instrText>
      </w:r>
      <w:r>
        <w:rPr>
          <w:rFonts w:hint="eastAsia"/>
          <w:sz w:val="24"/>
        </w:rPr>
        <w:fldChar w:fldCharType="separate"/>
      </w:r>
      <w:r>
        <w:rPr>
          <w:sz w:val="24"/>
        </w:rPr>
        <w:t>- 14 -</w:t>
      </w:r>
      <w:r>
        <w:rPr>
          <w:rFonts w:hint="eastAsia"/>
          <w:sz w:val="24"/>
        </w:rPr>
        <w:fldChar w:fldCharType="end"/>
      </w:r>
      <w:r>
        <w:rPr>
          <w:rFonts w:hint="eastAsia"/>
          <w:sz w:val="24"/>
        </w:rPr>
        <w:fldChar w:fldCharType="end"/>
      </w:r>
    </w:p>
    <w:p w14:paraId="07965555">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"_Toc207198122" </w:instrText>
      </w:r>
      <w:r>
        <w:fldChar w:fldCharType="separate"/>
      </w:r>
      <w:r>
        <w:rPr>
          <w:rStyle w:val="18"/>
          <w:rFonts w:hint="eastAsia" w:ascii="黑体" w:hAnsi="黑体" w:eastAsia="黑体" w:cs="黑体"/>
          <w:bCs/>
          <w:sz w:val="24"/>
        </w:rPr>
        <w:t>五、事故经验教训</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_Toc207198122 \h</w:instrText>
      </w:r>
      <w:r>
        <w:rPr>
          <w:rFonts w:hint="eastAsia"/>
          <w:sz w:val="24"/>
        </w:rPr>
        <w:instrText xml:space="preserve"> </w:instrText>
      </w:r>
      <w:r>
        <w:rPr>
          <w:rFonts w:hint="eastAsia"/>
          <w:sz w:val="24"/>
        </w:rPr>
        <w:fldChar w:fldCharType="separate"/>
      </w:r>
      <w:r>
        <w:rPr>
          <w:sz w:val="24"/>
        </w:rPr>
        <w:t>- 14 -</w:t>
      </w:r>
      <w:r>
        <w:rPr>
          <w:rFonts w:hint="eastAsia"/>
          <w:sz w:val="24"/>
        </w:rPr>
        <w:fldChar w:fldCharType="end"/>
      </w:r>
      <w:r>
        <w:rPr>
          <w:rFonts w:hint="eastAsia"/>
          <w:sz w:val="24"/>
        </w:rPr>
        <w:fldChar w:fldCharType="end"/>
      </w:r>
    </w:p>
    <w:p w14:paraId="49A942D1">
      <w:pPr>
        <w:pStyle w:val="7"/>
        <w:tabs>
          <w:tab w:val="right" w:leader="dot" w:pos="8296"/>
        </w:tabs>
        <w:rPr>
          <w:rFonts w:asciiTheme="minorHAnsi" w:hAnsiTheme="minorHAnsi" w:eastAsiaTheme="minorEastAsia" w:cstheme="minorBidi"/>
          <w:sz w:val="24"/>
          <w14:ligatures w14:val="standardContextual"/>
        </w:rPr>
      </w:pPr>
      <w:r>
        <w:fldChar w:fldCharType="begin"/>
      </w:r>
      <w:r>
        <w:instrText xml:space="preserve"> HYPERLINK \l "_Toc207198123" </w:instrText>
      </w:r>
      <w:r>
        <w:fldChar w:fldCharType="separate"/>
      </w:r>
      <w:r>
        <w:rPr>
          <w:rStyle w:val="18"/>
          <w:rFonts w:hint="eastAsia" w:ascii="黑体" w:hAnsi="黑体" w:eastAsia="黑体" w:cs="黑体"/>
          <w:bCs/>
          <w:sz w:val="24"/>
        </w:rPr>
        <w:t>六、事故整改和防范措施</w:t>
      </w:r>
      <w:r>
        <w:rPr>
          <w:rFonts w:hint="eastAsia"/>
          <w:sz w:val="24"/>
        </w:rPr>
        <w:tab/>
      </w:r>
      <w:r>
        <w:rPr>
          <w:rFonts w:hint="eastAsia"/>
          <w:sz w:val="24"/>
        </w:rPr>
        <w:fldChar w:fldCharType="begin"/>
      </w:r>
      <w:r>
        <w:rPr>
          <w:rFonts w:hint="eastAsia"/>
          <w:sz w:val="24"/>
        </w:rPr>
        <w:instrText xml:space="preserve"> </w:instrText>
      </w:r>
      <w:r>
        <w:rPr>
          <w:sz w:val="24"/>
        </w:rPr>
        <w:instrText xml:space="preserve">PAGEREF _Toc207198123 \h</w:instrText>
      </w:r>
      <w:r>
        <w:rPr>
          <w:rFonts w:hint="eastAsia"/>
          <w:sz w:val="24"/>
        </w:rPr>
        <w:instrText xml:space="preserve"> </w:instrText>
      </w:r>
      <w:r>
        <w:rPr>
          <w:rFonts w:hint="eastAsia"/>
          <w:sz w:val="24"/>
        </w:rPr>
        <w:fldChar w:fldCharType="separate"/>
      </w:r>
      <w:r>
        <w:rPr>
          <w:sz w:val="24"/>
        </w:rPr>
        <w:t>- 14 -</w:t>
      </w:r>
      <w:r>
        <w:rPr>
          <w:rFonts w:hint="eastAsia"/>
          <w:sz w:val="24"/>
        </w:rPr>
        <w:fldChar w:fldCharType="end"/>
      </w:r>
      <w:r>
        <w:rPr>
          <w:rFonts w:hint="eastAsia"/>
          <w:sz w:val="24"/>
        </w:rPr>
        <w:fldChar w:fldCharType="end"/>
      </w:r>
    </w:p>
    <w:p w14:paraId="25628D4A">
      <w:pPr>
        <w:spacing w:line="360" w:lineRule="auto"/>
        <w:ind w:firstLine="640"/>
        <w:rPr>
          <w:rFonts w:eastAsia="仿宋"/>
          <w:sz w:val="30"/>
          <w:szCs w:val="30"/>
        </w:rPr>
        <w:sectPr>
          <w:footerReference r:id="rId11" w:type="first"/>
          <w:footerReference r:id="rId10" w:type="default"/>
          <w:pgSz w:w="11906" w:h="16838"/>
          <w:pgMar w:top="1440" w:right="1800" w:bottom="1440" w:left="1800" w:header="851" w:footer="992" w:gutter="0"/>
          <w:pgNumType w:fmt="upperRoman" w:start="0"/>
          <w:cols w:space="720" w:num="1"/>
          <w:docGrid w:type="lines" w:linePitch="312" w:charSpace="0"/>
        </w:sectPr>
      </w:pPr>
      <w:r>
        <w:rPr>
          <w:rFonts w:eastAsia="仿宋"/>
          <w:szCs w:val="32"/>
        </w:rPr>
        <w:fldChar w:fldCharType="end"/>
      </w:r>
    </w:p>
    <w:p w14:paraId="4F9B8AB0">
      <w:pPr>
        <w:spacing w:line="580" w:lineRule="exact"/>
        <w:ind w:firstLine="880"/>
        <w:jc w:val="center"/>
        <w:rPr>
          <w:rFonts w:eastAsia="仿宋"/>
          <w:bCs/>
          <w:sz w:val="44"/>
          <w:szCs w:val="44"/>
        </w:rPr>
      </w:pPr>
    </w:p>
    <w:p w14:paraId="020C892D">
      <w:pPr>
        <w:spacing w:before="312" w:beforeLines="100" w:after="156" w:afterLines="50" w:line="600" w:lineRule="exact"/>
        <w:jc w:val="center"/>
        <w:rPr>
          <w:rFonts w:eastAsia="方正小标宋简体"/>
          <w:bCs/>
          <w:sz w:val="44"/>
          <w:szCs w:val="44"/>
        </w:rPr>
      </w:pPr>
      <w:r>
        <w:rPr>
          <w:rFonts w:hint="eastAsia" w:eastAsia="方正小标宋简体"/>
          <w:bCs/>
          <w:sz w:val="44"/>
          <w:szCs w:val="44"/>
        </w:rPr>
        <w:t>溧阳埭头盐城科莱瑞环保有限公司</w:t>
      </w:r>
    </w:p>
    <w:p w14:paraId="76E642BC">
      <w:pPr>
        <w:spacing w:before="312" w:beforeLines="100" w:after="156" w:afterLines="50" w:line="600" w:lineRule="exact"/>
        <w:jc w:val="center"/>
        <w:rPr>
          <w:rFonts w:eastAsia="方正小标宋简体"/>
          <w:bCs/>
          <w:sz w:val="44"/>
          <w:szCs w:val="44"/>
        </w:rPr>
      </w:pPr>
      <w:r>
        <w:rPr>
          <w:rFonts w:hint="eastAsia" w:eastAsia="方正小标宋简体"/>
          <w:bCs/>
          <w:sz w:val="44"/>
          <w:szCs w:val="44"/>
        </w:rPr>
        <w:t>“6·14”一般触电伤害事故调查报告</w:t>
      </w:r>
    </w:p>
    <w:p w14:paraId="7BB0EEF0">
      <w:pPr>
        <w:ind w:firstLine="640" w:firstLineChars="200"/>
        <w:rPr>
          <w:rFonts w:hint="eastAsia" w:ascii="仿宋" w:hAnsi="仿宋" w:eastAsia="仿宋" w:cs="仿宋"/>
          <w:sz w:val="32"/>
          <w:szCs w:val="32"/>
        </w:rPr>
      </w:pPr>
      <w:r>
        <w:rPr>
          <w:rFonts w:hint="eastAsia" w:ascii="仿宋" w:hAnsi="仿宋" w:eastAsia="仿宋" w:cs="仿宋"/>
          <w:sz w:val="32"/>
          <w:szCs w:val="32"/>
        </w:rPr>
        <w:t>2025年</w:t>
      </w:r>
      <w:r>
        <w:rPr>
          <w:rFonts w:hint="eastAsia" w:ascii="仿宋_GB2312" w:hAnsi="仿宋_GB2312" w:eastAsia="仿宋_GB2312" w:cs="仿宋_GB2312"/>
          <w:color w:val="000000" w:themeColor="text1"/>
          <w:sz w:val="32"/>
          <w:szCs w:val="32"/>
          <w14:textFill>
            <w14:solidFill>
              <w14:schemeClr w14:val="tx1"/>
            </w14:solidFill>
          </w14:textFill>
        </w:rPr>
        <w:t>6月14日，盐城科莱瑞环保有限公司抛丸机维修工董汉荣在江苏南洋中京科技有限公司进行抛丸机维修过程中，发生一起触电伤害事故，造成1人死亡，直接经济</w:t>
      </w:r>
      <w:r>
        <w:rPr>
          <w:rFonts w:hint="eastAsia" w:ascii="仿宋" w:hAnsi="仿宋" w:eastAsia="仿宋" w:cs="仿宋"/>
          <w:sz w:val="32"/>
          <w:szCs w:val="32"/>
        </w:rPr>
        <w:t>损失140万元。</w:t>
      </w:r>
    </w:p>
    <w:p w14:paraId="483601FD">
      <w:pPr>
        <w:spacing w:line="570" w:lineRule="exact"/>
        <w:ind w:firstLine="640" w:firstLineChars="200"/>
        <w:rPr>
          <w:rFonts w:hint="eastAsia" w:ascii="仿宋_GB2312" w:hAnsi="仿宋_GB2312" w:eastAsia="仿宋_GB2312" w:cs="仿宋_GB2312"/>
          <w:sz w:val="32"/>
          <w:szCs w:val="32"/>
        </w:rPr>
      </w:pPr>
      <w:bookmarkStart w:id="7" w:name="_Hlk207175965"/>
      <w:r>
        <w:rPr>
          <w:rFonts w:ascii="仿宋_GB2312" w:hAnsi="仿宋_GB2312" w:eastAsia="仿宋_GB2312" w:cs="仿宋_GB2312"/>
          <w:sz w:val="32"/>
          <w:szCs w:val="32"/>
        </w:rPr>
        <w:t>依据《中华人民共和国安全生产法》和《生产安全事故报告和调</w:t>
      </w:r>
      <w:r>
        <w:rPr>
          <w:rFonts w:ascii="仿宋_GB2312" w:hAnsi="仿宋_GB2312" w:eastAsia="仿宋_GB2312" w:cs="仿宋_GB2312"/>
          <w:color w:val="000000" w:themeColor="text1"/>
          <w:sz w:val="32"/>
          <w:szCs w:val="32"/>
          <w14:textFill>
            <w14:solidFill>
              <w14:schemeClr w14:val="tx1"/>
            </w14:solidFill>
          </w14:textFill>
        </w:rPr>
        <w:t>查处理条例》等有关法律法规，经溧阳市人民政府授权，20</w:t>
      </w:r>
      <w:r>
        <w:rPr>
          <w:rFonts w:hint="eastAsia" w:ascii="仿宋_GB2312" w:hAnsi="仿宋_GB2312" w:eastAsia="仿宋_GB2312" w:cs="仿宋_GB2312"/>
          <w:color w:val="000000" w:themeColor="text1"/>
          <w:sz w:val="32"/>
          <w:szCs w:val="32"/>
          <w14:textFill>
            <w14:solidFill>
              <w14:schemeClr w14:val="tx1"/>
            </w14:solidFill>
          </w14:textFill>
        </w:rPr>
        <w:t>25</w:t>
      </w:r>
      <w:r>
        <w:rPr>
          <w:rFonts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14:textFill>
            <w14:solidFill>
              <w14:schemeClr w14:val="tx1"/>
            </w14:solidFill>
          </w14:textFill>
        </w:rPr>
        <w:t>6月15日</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成</w:t>
      </w:r>
      <w:r>
        <w:rPr>
          <w:rFonts w:hint="eastAsia" w:ascii="仿宋_GB2312" w:hAnsi="仿宋_GB2312" w:eastAsia="仿宋_GB2312" w:cs="仿宋_GB2312"/>
          <w:sz w:val="32"/>
          <w:szCs w:val="32"/>
        </w:rPr>
        <w:t>立了</w:t>
      </w:r>
      <w:r>
        <w:rPr>
          <w:rFonts w:ascii="仿宋_GB2312" w:hAnsi="仿宋_GB2312" w:eastAsia="仿宋_GB2312" w:cs="仿宋_GB2312"/>
          <w:sz w:val="32"/>
          <w:szCs w:val="32"/>
        </w:rPr>
        <w:t>由市应急管理局牵头，</w:t>
      </w:r>
      <w:r>
        <w:rPr>
          <w:rFonts w:hint="eastAsia" w:ascii="仿宋_GB2312" w:hAnsi="仿宋_GB2312" w:eastAsia="仿宋_GB2312" w:cs="仿宋_GB2312"/>
          <w:sz w:val="32"/>
          <w:szCs w:val="32"/>
        </w:rPr>
        <w:t>盐城市大丰区人民政府、市检察院、</w:t>
      </w:r>
      <w:r>
        <w:rPr>
          <w:rFonts w:ascii="仿宋_GB2312" w:hAnsi="仿宋_GB2312" w:eastAsia="仿宋_GB2312" w:cs="仿宋_GB2312"/>
          <w:sz w:val="32"/>
          <w:szCs w:val="32"/>
        </w:rPr>
        <w:t>市公安局、市总工会、</w:t>
      </w:r>
      <w:r>
        <w:rPr>
          <w:rFonts w:hint="eastAsia" w:ascii="仿宋_GB2312" w:hAnsi="仿宋_GB2312" w:eastAsia="仿宋_GB2312" w:cs="仿宋_GB2312"/>
          <w:sz w:val="32"/>
          <w:szCs w:val="32"/>
        </w:rPr>
        <w:t>埭头镇人民政府为成员单位的</w:t>
      </w:r>
      <w:bookmarkStart w:id="8" w:name="_Hlk207284130"/>
      <w:r>
        <w:rPr>
          <w:rFonts w:hint="eastAsia" w:ascii="仿宋_GB2312" w:hAnsi="仿宋_GB2312" w:eastAsia="仿宋_GB2312" w:cs="仿宋_GB2312"/>
          <w:sz w:val="32"/>
          <w:szCs w:val="32"/>
        </w:rPr>
        <w:t>溧阳埭头盐城科莱瑞环保有限公司“6·14”一般触电伤害</w:t>
      </w:r>
      <w:bookmarkEnd w:id="8"/>
      <w:r>
        <w:rPr>
          <w:rFonts w:hint="eastAsia" w:ascii="仿宋_GB2312" w:hAnsi="仿宋_GB2312" w:eastAsia="仿宋_GB2312" w:cs="仿宋_GB2312"/>
          <w:sz w:val="32"/>
          <w:szCs w:val="32"/>
        </w:rPr>
        <w:t>事故调查组</w:t>
      </w:r>
      <w:r>
        <w:rPr>
          <w:rFonts w:ascii="仿宋_GB2312" w:hAnsi="仿宋_GB2312" w:eastAsia="仿宋_GB2312" w:cs="仿宋_GB2312"/>
          <w:sz w:val="32"/>
          <w:szCs w:val="32"/>
        </w:rPr>
        <w:t>（以下简称事故调查组），邀请溧阳市纪委监委派</w:t>
      </w:r>
      <w:r>
        <w:rPr>
          <w:rFonts w:hint="eastAsia" w:ascii="仿宋_GB2312" w:hAnsi="仿宋_GB2312" w:eastAsia="仿宋_GB2312" w:cs="仿宋_GB2312"/>
          <w:sz w:val="32"/>
          <w:szCs w:val="32"/>
        </w:rPr>
        <w:t>人参加事故调查，同时聘请安全生产专家参与调查进行技术分析</w:t>
      </w:r>
      <w:r>
        <w:rPr>
          <w:rFonts w:ascii="仿宋_GB2312" w:hAnsi="仿宋_GB2312" w:eastAsia="仿宋_GB2312" w:cs="仿宋_GB2312"/>
          <w:sz w:val="32"/>
          <w:szCs w:val="32"/>
        </w:rPr>
        <w:t>。</w:t>
      </w:r>
    </w:p>
    <w:bookmarkEnd w:id="7"/>
    <w:p w14:paraId="1D9BBD4F">
      <w:pPr>
        <w:spacing w:line="570" w:lineRule="exact"/>
        <w:ind w:firstLine="640" w:firstLineChars="200"/>
        <w:rPr>
          <w:rFonts w:eastAsia="仿宋"/>
          <w:sz w:val="32"/>
          <w:szCs w:val="32"/>
        </w:rPr>
      </w:pPr>
      <w:r>
        <w:rPr>
          <w:rFonts w:ascii="仿宋_GB2312" w:hAnsi="仿宋_GB2312" w:eastAsia="仿宋_GB2312" w:cs="仿宋_GB2312"/>
          <w:sz w:val="32"/>
          <w:szCs w:val="32"/>
        </w:rPr>
        <w:t>事故调查组认真贯彻落实市委、</w:t>
      </w:r>
      <w:r>
        <w:rPr>
          <w:rFonts w:hint="eastAsia" w:ascii="仿宋_GB2312" w:hAnsi="仿宋_GB2312" w:eastAsia="仿宋_GB2312" w:cs="仿宋_GB2312"/>
          <w:sz w:val="32"/>
          <w:szCs w:val="32"/>
          <w:lang w:val="en-US" w:eastAsia="zh-CN"/>
        </w:rPr>
        <w:t>市</w:t>
      </w:r>
      <w:r>
        <w:rPr>
          <w:rFonts w:ascii="仿宋_GB2312" w:hAnsi="仿宋_GB2312" w:eastAsia="仿宋_GB2312" w:cs="仿宋_GB2312"/>
          <w:sz w:val="32"/>
          <w:szCs w:val="32"/>
        </w:rPr>
        <w:t>政府要求，坚持“四不放过”和“科学严谨、依法依规</w:t>
      </w:r>
      <w:bookmarkStart w:id="55" w:name="_GoBack"/>
      <w:bookmarkEnd w:id="55"/>
      <w:r>
        <w:rPr>
          <w:rFonts w:ascii="仿宋_GB2312" w:hAnsi="仿宋_GB2312" w:eastAsia="仿宋_GB2312" w:cs="仿宋_GB2312"/>
          <w:sz w:val="32"/>
          <w:szCs w:val="32"/>
        </w:rPr>
        <w:t>、实事求是、注重实效”的原则，深入开展各项调查工作。通过反复的现场勘验、调查取证、调阅资料、人员问询，经综合分析，查明事故发生的经过、原因、人员伤亡和直接经济损失情况，认定事故性质和责任，提出对有关责任人员和责任单位的处理建议，并针对事故暴露的突出问题，提出防范措施建议。</w:t>
      </w:r>
    </w:p>
    <w:p w14:paraId="2E47ADF1">
      <w:pPr>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经调查认定，溧阳埭头盐城科莱瑞环保有限公司“6·14”一般触电伤害事故是因临时用电现场安全风险失控、安全技术交底缺失、现场安全管理不到位，造成的生产安全责任事故。</w:t>
      </w:r>
    </w:p>
    <w:p w14:paraId="64461A05">
      <w:pPr>
        <w:spacing w:line="570" w:lineRule="exact"/>
        <w:ind w:firstLine="640" w:firstLineChars="200"/>
        <w:outlineLvl w:val="0"/>
        <w:rPr>
          <w:rFonts w:hint="eastAsia" w:ascii="黑体" w:hAnsi="黑体" w:eastAsia="黑体" w:cs="黑体"/>
          <w:bCs/>
          <w:sz w:val="32"/>
          <w:szCs w:val="32"/>
        </w:rPr>
      </w:pPr>
      <w:bookmarkStart w:id="9" w:name="_Toc207198102"/>
      <w:r>
        <w:rPr>
          <w:rFonts w:hint="eastAsia" w:ascii="黑体" w:hAnsi="黑体" w:eastAsia="黑体" w:cs="黑体"/>
          <w:bCs/>
          <w:sz w:val="32"/>
          <w:szCs w:val="32"/>
        </w:rPr>
        <w:t>一、</w:t>
      </w:r>
      <w:r>
        <w:rPr>
          <w:rFonts w:ascii="黑体" w:hAnsi="黑体" w:eastAsia="黑体" w:cs="黑体"/>
          <w:bCs/>
          <w:sz w:val="32"/>
          <w:szCs w:val="32"/>
        </w:rPr>
        <w:t>事故基本情况</w:t>
      </w:r>
      <w:bookmarkEnd w:id="9"/>
    </w:p>
    <w:p w14:paraId="151AD0A2">
      <w:pPr>
        <w:spacing w:line="570" w:lineRule="exact"/>
        <w:ind w:firstLine="640" w:firstLineChars="200"/>
        <w:outlineLvl w:val="1"/>
        <w:rPr>
          <w:rFonts w:hint="eastAsia" w:ascii="楷体" w:hAnsi="楷体" w:eastAsia="楷体" w:cs="楷体"/>
          <w:bCs/>
          <w:sz w:val="32"/>
          <w:szCs w:val="32"/>
        </w:rPr>
      </w:pPr>
      <w:bookmarkStart w:id="10" w:name="_Toc207198103"/>
      <w:r>
        <w:rPr>
          <w:rFonts w:hint="eastAsia" w:ascii="楷体" w:hAnsi="楷体" w:eastAsia="楷体" w:cs="楷体"/>
          <w:bCs/>
          <w:sz w:val="32"/>
          <w:szCs w:val="32"/>
        </w:rPr>
        <w:t>（一）事故发生相关单位概况</w:t>
      </w:r>
      <w:bookmarkEnd w:id="10"/>
    </w:p>
    <w:p w14:paraId="0A84C261">
      <w:pPr>
        <w:ind w:firstLine="640" w:firstLineChars="200"/>
        <w:rPr>
          <w:rFonts w:hint="eastAsia" w:ascii="仿宋_GB2312" w:hAnsi="仿宋" w:eastAsia="仿宋_GB2312" w:cs="仿宋"/>
          <w:sz w:val="32"/>
          <w:szCs w:val="32"/>
        </w:rPr>
      </w:pPr>
      <w:bookmarkStart w:id="11" w:name="_Toc16678"/>
      <w:r>
        <w:rPr>
          <w:rFonts w:hint="eastAsia" w:ascii="仿宋_GB2312" w:hAnsi="仿宋" w:eastAsia="仿宋_GB2312" w:cs="仿宋"/>
          <w:sz w:val="32"/>
          <w:szCs w:val="32"/>
        </w:rPr>
        <w:t>1.盐城科莱瑞环保有限公司（以下简称科莱瑞公司，抛丸机维保项目承包方），统一社会信用代码：91320982MA20JEDX5E，类型：有限责任公司(自然人独资），法人代表：戚爱冬，成立日期：2019年12月5日，地址：盐城市大丰区南阳镇工业园区吉兴路88号，经营范围包括：环保设备、磨料、抛丸机、喷砂设备及配件、涂装设备及配件制造；金属表面处理（除电镀）；橡胶制品、塑料制品、耐磨铸件销售；机械设备、金属磨料互联网销售。（依法须经批准的项目，经相关部门批准后方可开展经营活动）。</w:t>
      </w:r>
    </w:p>
    <w:p w14:paraId="5C50AF6A">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江苏南洋中京科技有限公司（以下简称南洋中京公司，抛丸机维保项目发包方），统一社会信用代码：91320481MA1T4QKR60，类型：有限责任公司(自然人投资或控股)，法人代表：汪磊，成立日期：2017年10月18日，地址：溧阳市埭头镇工业集中区军荣路5号，经营范围包括：汽车零部件、海洋船舶锁具件及其他机械加工件、塑料制品的研发、生产和销售，计算机软件开发应用及技术转让。（依法须经批准的项目，经相关部门批准后方可开展经营活动） 许可项目：货物进出口；技术进出口；进出口代理（依法须经批准的项目，经相关部门批准后方可开展经营活动，具体经营项目以审批结果为准）。</w:t>
      </w:r>
    </w:p>
    <w:p w14:paraId="2288B004">
      <w:pPr>
        <w:spacing w:line="570" w:lineRule="exact"/>
        <w:ind w:firstLine="640" w:firstLineChars="200"/>
        <w:outlineLvl w:val="1"/>
        <w:rPr>
          <w:rFonts w:hint="eastAsia" w:ascii="楷体" w:hAnsi="楷体" w:eastAsia="楷体" w:cs="楷体"/>
          <w:bCs/>
          <w:sz w:val="32"/>
          <w:szCs w:val="32"/>
        </w:rPr>
      </w:pPr>
      <w:bookmarkStart w:id="12" w:name="_Toc207198104"/>
      <w:r>
        <w:rPr>
          <w:rFonts w:ascii="楷体" w:hAnsi="楷体" w:eastAsia="楷体" w:cs="楷体"/>
          <w:bCs/>
          <w:sz w:val="32"/>
          <w:szCs w:val="32"/>
        </w:rPr>
        <w:t>（</w:t>
      </w:r>
      <w:r>
        <w:rPr>
          <w:rFonts w:hint="eastAsia" w:ascii="楷体" w:hAnsi="楷体" w:eastAsia="楷体" w:cs="楷体"/>
          <w:bCs/>
          <w:sz w:val="32"/>
          <w:szCs w:val="32"/>
        </w:rPr>
        <w:t>二</w:t>
      </w:r>
      <w:r>
        <w:rPr>
          <w:rFonts w:ascii="楷体" w:hAnsi="楷体" w:eastAsia="楷体" w:cs="楷体"/>
          <w:bCs/>
          <w:sz w:val="32"/>
          <w:szCs w:val="32"/>
        </w:rPr>
        <w:t>）人员</w:t>
      </w:r>
      <w:r>
        <w:rPr>
          <w:rFonts w:hint="eastAsia" w:ascii="楷体" w:hAnsi="楷体" w:eastAsia="楷体" w:cs="楷体"/>
          <w:bCs/>
          <w:sz w:val="32"/>
          <w:szCs w:val="32"/>
        </w:rPr>
        <w:t>伤亡</w:t>
      </w:r>
      <w:r>
        <w:rPr>
          <w:rFonts w:ascii="楷体" w:hAnsi="楷体" w:eastAsia="楷体" w:cs="楷体"/>
          <w:bCs/>
          <w:sz w:val="32"/>
          <w:szCs w:val="32"/>
        </w:rPr>
        <w:t>和直接经济损失情况</w:t>
      </w:r>
      <w:bookmarkEnd w:id="11"/>
      <w:bookmarkEnd w:id="12"/>
    </w:p>
    <w:p w14:paraId="700B9C5A">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董汉荣，男，汉族，出生于1968年1月22日，公民身份号</w:t>
      </w:r>
      <w:r>
        <w:rPr>
          <w:rFonts w:hint="eastAsia" w:ascii="仿宋_GB2312" w:hAnsi="仿宋" w:eastAsia="仿宋_GB2312" w:cs="仿宋"/>
          <w:sz w:val="32"/>
          <w:szCs w:val="32"/>
          <w:lang w:val="en-US" w:eastAsia="zh-CN"/>
        </w:rPr>
        <w:t>xxxxxxxxxxxx</w:t>
      </w:r>
      <w:r>
        <w:rPr>
          <w:rFonts w:hint="eastAsia" w:ascii="仿宋_GB2312" w:hAnsi="仿宋" w:eastAsia="仿宋_GB2312" w:cs="仿宋"/>
          <w:sz w:val="32"/>
          <w:szCs w:val="32"/>
        </w:rPr>
        <w:t>，家住江苏省大丰市小海镇南团居委会一组72号，为科莱瑞公司抛丸机维修工，在此次事故中死亡。</w:t>
      </w:r>
    </w:p>
    <w:p w14:paraId="3B852418">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依据《企业职工伤亡事故经济损失统计标准》（GB6721-1986）等标准和规定统计，核定事故造成直接经济损失140万元。</w:t>
      </w:r>
    </w:p>
    <w:p w14:paraId="127D224A">
      <w:pPr>
        <w:spacing w:line="570" w:lineRule="exact"/>
        <w:ind w:left="640"/>
        <w:outlineLvl w:val="1"/>
        <w:rPr>
          <w:rFonts w:hint="eastAsia" w:ascii="楷体" w:hAnsi="楷体" w:eastAsia="楷体" w:cs="楷体"/>
          <w:bCs/>
          <w:sz w:val="32"/>
          <w:szCs w:val="32"/>
        </w:rPr>
      </w:pPr>
      <w:bookmarkStart w:id="13" w:name="_Toc207198105"/>
      <w:r>
        <w:rPr>
          <w:rFonts w:hint="eastAsia" w:ascii="楷体" w:hAnsi="楷体" w:eastAsia="楷体" w:cs="楷体"/>
          <w:bCs/>
          <w:sz w:val="32"/>
          <w:szCs w:val="32"/>
        </w:rPr>
        <w:t>（三）尸检情况</w:t>
      </w:r>
      <w:bookmarkEnd w:id="13"/>
    </w:p>
    <w:p w14:paraId="00AC1F71">
      <w:pPr>
        <w:spacing w:line="57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事故发生后，溧阳市公安局对死者董汉荣开展法医学尸体检验，出具《法医学尸体检验鉴定书》（溧公物鉴（法验）字[2025]9号）。</w:t>
      </w:r>
    </w:p>
    <w:p w14:paraId="33F0B05C">
      <w:pPr>
        <w:spacing w:line="570" w:lineRule="exact"/>
        <w:ind w:firstLine="640" w:firstLineChars="200"/>
        <w:rPr>
          <w:rFonts w:hint="eastAsia" w:ascii="仿宋_GB2312" w:hAnsi="楷体" w:eastAsia="仿宋_GB2312" w:cs="楷体"/>
          <w:bCs/>
          <w:sz w:val="32"/>
          <w:szCs w:val="32"/>
        </w:rPr>
      </w:pPr>
      <w:r>
        <w:rPr>
          <w:rFonts w:hint="eastAsia" w:ascii="仿宋_GB2312" w:hAnsi="仿宋" w:eastAsia="仿宋_GB2312" w:cs="仿宋"/>
          <w:sz w:val="32"/>
          <w:szCs w:val="32"/>
        </w:rPr>
        <w:t>死者董汉荣双眼睑结膜见较多出血点，体表主要见腹部、左上臂表皮剥脱，边缘表皮翻卷，炭化；右手肌肉痉挛，难以破坏，右食指、中指掌侧根处见线状凹痕伴局部凝固隆起、发硬，呈电流斑肉眼形态改变；腹部皮肤、右手指皮肤病理检验，符合电流斑病理改变；心血毒物检验阴性，符合电击死亡。</w:t>
      </w:r>
    </w:p>
    <w:p w14:paraId="702E8082">
      <w:pPr>
        <w:spacing w:line="570" w:lineRule="exact"/>
        <w:ind w:left="640"/>
        <w:outlineLvl w:val="1"/>
        <w:rPr>
          <w:rFonts w:hint="eastAsia" w:ascii="楷体" w:hAnsi="楷体" w:eastAsia="楷体" w:cs="楷体"/>
          <w:sz w:val="32"/>
          <w:szCs w:val="32"/>
        </w:rPr>
      </w:pPr>
      <w:bookmarkStart w:id="14" w:name="_Toc207198106"/>
      <w:r>
        <w:rPr>
          <w:rFonts w:hint="eastAsia" w:ascii="楷体" w:hAnsi="楷体" w:eastAsia="楷体" w:cs="楷体"/>
          <w:sz w:val="32"/>
          <w:szCs w:val="32"/>
        </w:rPr>
        <w:t>（四）项目基本情况</w:t>
      </w:r>
      <w:bookmarkEnd w:id="14"/>
    </w:p>
    <w:p w14:paraId="426F4E5D">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5月，双方签订有效期一年的《江苏南洋中京科技有限公司抛丸机年度保养维修协议》。协议到期后，南洋中京公司抛丸机需要维保时联系科莱瑞公司，科莱瑞公司派人携带维保工具、材料到南洋中京公司进行维保，维保结束经南洋中京公司验收合格后签送货单（写明人工和维保材料费用），南洋中京公司根据科莱瑞公司维保送货单定期结算抛丸机维保费用，科莱瑞公司与南洋中京公司持续抛丸机维保合作直至事故发生。</w:t>
      </w:r>
    </w:p>
    <w:p w14:paraId="62AE8315">
      <w:pPr>
        <w:spacing w:line="570" w:lineRule="exact"/>
        <w:ind w:firstLine="640" w:firstLineChars="200"/>
        <w:outlineLvl w:val="1"/>
        <w:rPr>
          <w:rFonts w:hint="eastAsia" w:ascii="楷体" w:hAnsi="楷体" w:eastAsia="楷体" w:cs="楷体"/>
          <w:sz w:val="32"/>
          <w:szCs w:val="32"/>
        </w:rPr>
      </w:pPr>
      <w:bookmarkStart w:id="15" w:name="_Toc207198107"/>
      <w:r>
        <w:rPr>
          <w:rFonts w:hint="eastAsia" w:ascii="楷体" w:hAnsi="楷体" w:eastAsia="楷体" w:cs="楷体"/>
          <w:sz w:val="32"/>
          <w:szCs w:val="32"/>
        </w:rPr>
        <w:t>（五）项目安全管理情况</w:t>
      </w:r>
      <w:bookmarkEnd w:id="15"/>
    </w:p>
    <w:p w14:paraId="1FC9BA87">
      <w:pPr>
        <w:spacing w:line="570" w:lineRule="exact"/>
        <w:ind w:firstLine="643" w:firstLineChars="200"/>
        <w:rPr>
          <w:rFonts w:eastAsia="仿宋_GB2312"/>
          <w:color w:val="000000" w:themeColor="text1"/>
          <w:sz w:val="32"/>
          <w:szCs w:val="32"/>
          <w14:textFill>
            <w14:solidFill>
              <w14:schemeClr w14:val="tx1"/>
            </w14:solidFill>
          </w14:textFill>
        </w:rPr>
      </w:pPr>
      <w:bookmarkStart w:id="16" w:name="OLE_LINK4"/>
      <w:r>
        <w:rPr>
          <w:rFonts w:hint="eastAsia" w:ascii="仿宋_GB2312" w:hAnsi="仿宋_GB2312" w:eastAsia="仿宋_GB2312" w:cs="仿宋_GB2312"/>
          <w:b/>
          <w:sz w:val="32"/>
          <w:szCs w:val="32"/>
        </w:rPr>
        <w:t>发包单位：</w:t>
      </w:r>
      <w:r>
        <w:rPr>
          <w:rFonts w:hint="eastAsia" w:eastAsia="仿宋_GB2312"/>
          <w:color w:val="000000" w:themeColor="text1"/>
          <w:sz w:val="32"/>
          <w:szCs w:val="32"/>
          <w14:textFill>
            <w14:solidFill>
              <w14:schemeClr w14:val="tx1"/>
            </w14:solidFill>
          </w14:textFill>
        </w:rPr>
        <w:t>南洋中京公司总经理汪磊，安全副总沈江，安全部长王顺学，设备部长李阳，抛丸机维保直接负责人白永利</w:t>
      </w:r>
      <w:r>
        <w:rPr>
          <w:rStyle w:val="20"/>
          <w:rFonts w:hint="eastAsia" w:eastAsia="仿宋_GB2312"/>
          <w:color w:val="000000" w:themeColor="text1"/>
          <w:sz w:val="32"/>
          <w:szCs w:val="32"/>
          <w14:textFill>
            <w14:solidFill>
              <w14:schemeClr w14:val="tx1"/>
            </w14:solidFill>
          </w14:textFill>
        </w:rPr>
        <w:footnoteReference w:id="0"/>
      </w:r>
      <w:r>
        <w:rPr>
          <w:rFonts w:hint="eastAsia" w:eastAsia="仿宋_GB2312"/>
          <w:color w:val="000000" w:themeColor="text1"/>
          <w:sz w:val="32"/>
          <w:szCs w:val="32"/>
          <w14:textFill>
            <w14:solidFill>
              <w14:schemeClr w14:val="tx1"/>
            </w14:solidFill>
          </w14:textFill>
        </w:rPr>
        <w:t>。</w:t>
      </w:r>
    </w:p>
    <w:p w14:paraId="2FBE4B4E">
      <w:pPr>
        <w:spacing w:line="57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南洋中京公司于2022年5月12日发布《相关方管理制度》；未提供与科莱瑞公司安全管理协议；本次抛丸机维保项目中南洋中京公司白永利联系科莱瑞公司戚爱冬后，戚爱冬直接开车到南洋中京公司现场进行维保作业。</w:t>
      </w:r>
    </w:p>
    <w:p w14:paraId="69A0C587">
      <w:pPr>
        <w:spacing w:line="570" w:lineRule="exact"/>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承包单位：</w:t>
      </w:r>
      <w:r>
        <w:rPr>
          <w:rFonts w:hint="eastAsia" w:eastAsia="仿宋_GB2312"/>
          <w:color w:val="000000" w:themeColor="text1"/>
          <w:sz w:val="32"/>
          <w:szCs w:val="32"/>
          <w14:textFill>
            <w14:solidFill>
              <w14:schemeClr w14:val="tx1"/>
            </w14:solidFill>
          </w14:textFill>
        </w:rPr>
        <w:t>科莱瑞公司总经理戚爱冬，抛丸机维修工董汉荣。科莱瑞公司未提供危险作业管理制度，未对董汉荣进行抛丸机维保作业教育培训，董汉荣未取得低压电工证和焊接与热切割作业证。</w:t>
      </w:r>
    </w:p>
    <w:bookmarkEnd w:id="16"/>
    <w:p w14:paraId="634DD636">
      <w:pPr>
        <w:spacing w:line="570" w:lineRule="exact"/>
        <w:ind w:left="640"/>
        <w:outlineLvl w:val="1"/>
        <w:rPr>
          <w:rFonts w:hint="eastAsia" w:ascii="楷体" w:hAnsi="楷体" w:eastAsia="楷体" w:cs="楷体"/>
          <w:sz w:val="32"/>
          <w:szCs w:val="32"/>
        </w:rPr>
      </w:pPr>
      <w:bookmarkStart w:id="17" w:name="_Toc207198108"/>
      <w:r>
        <w:rPr>
          <w:rFonts w:hint="eastAsia" w:ascii="楷体" w:hAnsi="楷体" w:eastAsia="楷体" w:cs="楷体"/>
          <w:sz w:val="32"/>
          <w:szCs w:val="32"/>
        </w:rPr>
        <w:t>（六）事故现场情况</w:t>
      </w:r>
      <w:bookmarkEnd w:id="17"/>
    </w:p>
    <w:p w14:paraId="0664AE37">
      <w:pPr>
        <w:spacing w:line="570" w:lineRule="exact"/>
        <w:ind w:firstLine="640" w:firstLineChars="200"/>
        <w:rPr>
          <w:rFonts w:hint="eastAsia" w:ascii="楷体" w:hAnsi="楷体" w:eastAsia="仿宋_GB2312" w:cs="楷体"/>
          <w:sz w:val="32"/>
          <w:szCs w:val="32"/>
        </w:rPr>
      </w:pPr>
      <w:r>
        <w:rPr>
          <w:rFonts w:hint="eastAsia" w:ascii="仿宋_GB2312" w:hAnsi="仿宋_GB2312" w:eastAsia="仿宋_GB2312" w:cs="仿宋_GB2312"/>
          <w:sz w:val="32"/>
          <w:szCs w:val="32"/>
        </w:rPr>
        <w:t>事故发生于江苏南洋中京科技有限公司(溧阳市埭头镇工业集中区军荣路5号)1#车间抛丸间，涉事抛丸间位于1#车间东北角，东西长21.5米、南北宽9米;抛丸间内从东往西摆放4台抛丸机。发生事故为2#抛丸机，该抛丸机距离抛丸间东侧内墙壁5.2米、南侧内墙壁2米、西侧距3#抛丸机2.3米、北侧距内墙壁2.2米。2#抛丸机东侧地面有排风机一台、大焊牌 ZX7-400电焊机一台，2#抛丸振动筛上有铁锤一把、扳手一把，焊枪一把(连于东侧焊机)、角磨机一台（电源线上粘有一长0.4米钢板）、拖线板一个，插座上接三个插头，分别为排风机、焊机、角磨机，拖线板插头在2#抛丸机东侧地面，拖线板插头东侧1米墙面上有五孔插座，插座从抛丸车间东侧配电柜接线，配电箱内下方发现有五孔插座铜线接头。</w:t>
      </w:r>
    </w:p>
    <w:p w14:paraId="0D1317BA">
      <w:r>
        <w:rPr>
          <w:rFonts w:hint="eastAsia" w:ascii="楷体" w:hAnsi="楷体" w:eastAsia="仿宋_GB2312" w:cs="楷体"/>
          <w:sz w:val="32"/>
          <w:szCs w:val="32"/>
        </w:rPr>
        <w:t xml:space="preserve">    </w:t>
      </w:r>
      <w:r>
        <w:rPr>
          <w:rFonts w:hint="eastAsia" w:ascii="楷体" w:hAnsi="楷体" w:eastAsia="仿宋_GB2312" w:cs="楷体"/>
          <w:sz w:val="32"/>
          <w:szCs w:val="32"/>
        </w:rPr>
        <w:drawing>
          <wp:inline distT="0" distB="0" distL="114300" distR="114300">
            <wp:extent cx="2171700" cy="3086100"/>
            <wp:effectExtent l="0" t="0" r="0" b="0"/>
            <wp:docPr id="11" name="图片 11" descr="175507035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5070353923"/>
                    <pic:cNvPicPr>
                      <a:picLocks noChangeAspect="1"/>
                    </pic:cNvPicPr>
                  </pic:nvPicPr>
                  <pic:blipFill>
                    <a:blip r:embed="rId15"/>
                    <a:stretch>
                      <a:fillRect/>
                    </a:stretch>
                  </pic:blipFill>
                  <pic:spPr>
                    <a:xfrm>
                      <a:off x="0" y="0"/>
                      <a:ext cx="2171700" cy="3086100"/>
                    </a:xfrm>
                    <a:prstGeom prst="rect">
                      <a:avLst/>
                    </a:prstGeom>
                  </pic:spPr>
                </pic:pic>
              </a:graphicData>
            </a:graphic>
          </wp:inline>
        </w:drawing>
      </w:r>
      <w:r>
        <w:rPr>
          <w:rFonts w:hint="eastAsia" w:ascii="楷体" w:hAnsi="楷体" w:eastAsia="仿宋_GB2312" w:cs="楷体"/>
          <w:sz w:val="32"/>
          <w:szCs w:val="32"/>
        </w:rPr>
        <w:t xml:space="preserve">    </w:t>
      </w:r>
      <w:r>
        <w:drawing>
          <wp:inline distT="0" distB="0" distL="114300" distR="114300">
            <wp:extent cx="2181225" cy="3095625"/>
            <wp:effectExtent l="0" t="0" r="9525" b="9525"/>
            <wp:docPr id="15" name="图片 15" descr="175507046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5070465412"/>
                    <pic:cNvPicPr>
                      <a:picLocks noChangeAspect="1"/>
                    </pic:cNvPicPr>
                  </pic:nvPicPr>
                  <pic:blipFill>
                    <a:blip r:embed="rId16"/>
                    <a:stretch>
                      <a:fillRect/>
                    </a:stretch>
                  </pic:blipFill>
                  <pic:spPr>
                    <a:xfrm>
                      <a:off x="0" y="0"/>
                      <a:ext cx="2181225" cy="3095625"/>
                    </a:xfrm>
                    <a:prstGeom prst="rect">
                      <a:avLst/>
                    </a:prstGeom>
                  </pic:spPr>
                </pic:pic>
              </a:graphicData>
            </a:graphic>
          </wp:inline>
        </w:drawing>
      </w:r>
    </w:p>
    <w:p w14:paraId="612FCB6E">
      <w:r>
        <w:rPr>
          <w:rFonts w:hint="eastAsia"/>
        </w:rPr>
        <w:t xml:space="preserve">      </w:t>
      </w:r>
      <w:r>
        <w:rPr>
          <w:rFonts w:hint="eastAsia"/>
        </w:rPr>
        <w:drawing>
          <wp:inline distT="0" distB="0" distL="114300" distR="114300">
            <wp:extent cx="2162175" cy="3219450"/>
            <wp:effectExtent l="0" t="0" r="9525" b="0"/>
            <wp:docPr id="20" name="图片 20" descr="175507058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55070583138"/>
                    <pic:cNvPicPr>
                      <a:picLocks noChangeAspect="1"/>
                    </pic:cNvPicPr>
                  </pic:nvPicPr>
                  <pic:blipFill>
                    <a:blip r:embed="rId17"/>
                    <a:stretch>
                      <a:fillRect/>
                    </a:stretch>
                  </pic:blipFill>
                  <pic:spPr>
                    <a:xfrm>
                      <a:off x="0" y="0"/>
                      <a:ext cx="2162175" cy="3219450"/>
                    </a:xfrm>
                    <a:prstGeom prst="rect">
                      <a:avLst/>
                    </a:prstGeom>
                  </pic:spPr>
                </pic:pic>
              </a:graphicData>
            </a:graphic>
          </wp:inline>
        </w:drawing>
      </w:r>
      <w:r>
        <w:rPr>
          <w:rFonts w:hint="eastAsia"/>
        </w:rPr>
        <w:t xml:space="preserve">      </w:t>
      </w:r>
      <w:r>
        <w:drawing>
          <wp:inline distT="0" distB="0" distL="114300" distR="114300">
            <wp:extent cx="2181860" cy="3226435"/>
            <wp:effectExtent l="0" t="0" r="8890" b="12065"/>
            <wp:docPr id="21" name="图片 21" descr="175507064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55070641516"/>
                    <pic:cNvPicPr>
                      <a:picLocks noChangeAspect="1"/>
                    </pic:cNvPicPr>
                  </pic:nvPicPr>
                  <pic:blipFill>
                    <a:blip r:embed="rId18"/>
                    <a:stretch>
                      <a:fillRect/>
                    </a:stretch>
                  </pic:blipFill>
                  <pic:spPr>
                    <a:xfrm>
                      <a:off x="0" y="0"/>
                      <a:ext cx="2181860" cy="3226435"/>
                    </a:xfrm>
                    <a:prstGeom prst="rect">
                      <a:avLst/>
                    </a:prstGeom>
                  </pic:spPr>
                </pic:pic>
              </a:graphicData>
            </a:graphic>
          </wp:inline>
        </w:drawing>
      </w:r>
    </w:p>
    <w:p w14:paraId="294543E1">
      <w:pPr>
        <w:spacing w:line="570" w:lineRule="exact"/>
        <w:ind w:left="640"/>
        <w:outlineLvl w:val="1"/>
        <w:rPr>
          <w:rFonts w:hint="eastAsia" w:ascii="楷体" w:hAnsi="楷体" w:eastAsia="楷体" w:cs="楷体"/>
          <w:sz w:val="32"/>
          <w:szCs w:val="32"/>
        </w:rPr>
      </w:pPr>
      <w:bookmarkStart w:id="18" w:name="_Toc207198109"/>
      <w:r>
        <w:rPr>
          <w:rFonts w:hint="eastAsia" w:ascii="楷体" w:hAnsi="楷体" w:eastAsia="楷体" w:cs="楷体"/>
          <w:sz w:val="32"/>
          <w:szCs w:val="32"/>
        </w:rPr>
        <w:t>（七）抛丸机基本情况</w:t>
      </w:r>
      <w:bookmarkEnd w:id="18"/>
    </w:p>
    <w:p w14:paraId="71F599A6">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涉事抛丸机为Q3212型履带式自动上料（液压驱动）抛丸</w:t>
      </w:r>
      <w:r>
        <w:rPr>
          <w:rFonts w:hint="eastAsia" w:ascii="仿宋_GB2312" w:hAnsi="仿宋_GB2312" w:eastAsia="仿宋_GB2312" w:cs="仿宋_GB2312"/>
          <w:sz w:val="32"/>
          <w:szCs w:val="32"/>
          <w:lang w:val="en-US" w:eastAsia="zh-CN"/>
        </w:rPr>
        <w:t>清</w:t>
      </w:r>
      <w:r>
        <w:rPr>
          <w:rFonts w:hint="eastAsia" w:ascii="仿宋_GB2312" w:hAnsi="仿宋_GB2312" w:eastAsia="仿宋_GB2312" w:cs="仿宋_GB2312"/>
          <w:sz w:val="32"/>
          <w:szCs w:val="32"/>
        </w:rPr>
        <w:t>理机，由常州都梁环保设备科技有限公司制造，室外外形尺寸：L2050*W2400*H3200mm、提升机高度H3000mm（分开装载）；设备摆放尺寸：5500*4200*6000mm（含除尘器、可放到后墙外面）；除尘器外形尺寸：L1650*W1510*H3000mm、外加风机：H700mm；圆盘直径：1200mm，圆盘间距：约1560mm；输送带外形尺寸：L2600*W800*H1000mm。</w:t>
      </w:r>
    </w:p>
    <w:p w14:paraId="50A4789D">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1400175</wp:posOffset>
            </wp:positionH>
            <wp:positionV relativeFrom="paragraph">
              <wp:posOffset>32385</wp:posOffset>
            </wp:positionV>
            <wp:extent cx="2314575" cy="3114675"/>
            <wp:effectExtent l="0" t="0" r="9525" b="9525"/>
            <wp:wrapSquare wrapText="bothSides"/>
            <wp:docPr id="22" name="图片 22" descr="175507077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55070770303"/>
                    <pic:cNvPicPr>
                      <a:picLocks noChangeAspect="1"/>
                    </pic:cNvPicPr>
                  </pic:nvPicPr>
                  <pic:blipFill>
                    <a:blip r:embed="rId19"/>
                    <a:stretch>
                      <a:fillRect/>
                    </a:stretch>
                  </pic:blipFill>
                  <pic:spPr>
                    <a:xfrm>
                      <a:off x="0" y="0"/>
                      <a:ext cx="2314575" cy="3114675"/>
                    </a:xfrm>
                    <a:prstGeom prst="rect">
                      <a:avLst/>
                    </a:prstGeom>
                  </pic:spPr>
                </pic:pic>
              </a:graphicData>
            </a:graphic>
          </wp:anchor>
        </w:drawing>
      </w:r>
    </w:p>
    <w:p w14:paraId="66D58B82">
      <w:pPr>
        <w:spacing w:line="570" w:lineRule="exact"/>
        <w:ind w:firstLine="640" w:firstLineChars="200"/>
        <w:rPr>
          <w:rFonts w:hint="eastAsia" w:ascii="仿宋_GB2312" w:hAnsi="仿宋_GB2312" w:eastAsia="仿宋_GB2312" w:cs="仿宋_GB2312"/>
          <w:sz w:val="32"/>
          <w:szCs w:val="32"/>
        </w:rPr>
      </w:pPr>
    </w:p>
    <w:p w14:paraId="0C28ED58">
      <w:pPr>
        <w:spacing w:line="570" w:lineRule="exact"/>
        <w:ind w:firstLine="640" w:firstLineChars="200"/>
        <w:rPr>
          <w:rFonts w:hint="eastAsia" w:ascii="仿宋_GB2312" w:hAnsi="仿宋_GB2312" w:eastAsia="仿宋_GB2312" w:cs="仿宋_GB2312"/>
          <w:sz w:val="32"/>
          <w:szCs w:val="32"/>
        </w:rPr>
      </w:pPr>
    </w:p>
    <w:p w14:paraId="3D6BFC32">
      <w:pPr>
        <w:spacing w:line="570" w:lineRule="exact"/>
        <w:ind w:firstLine="640" w:firstLineChars="200"/>
        <w:rPr>
          <w:rFonts w:hint="eastAsia" w:ascii="仿宋_GB2312" w:hAnsi="仿宋_GB2312" w:eastAsia="仿宋_GB2312" w:cs="仿宋_GB2312"/>
          <w:sz w:val="32"/>
          <w:szCs w:val="32"/>
        </w:rPr>
      </w:pPr>
    </w:p>
    <w:p w14:paraId="6989A521">
      <w:pPr>
        <w:spacing w:line="570" w:lineRule="exact"/>
        <w:ind w:firstLine="640" w:firstLineChars="200"/>
        <w:rPr>
          <w:rFonts w:hint="eastAsia" w:ascii="仿宋_GB2312" w:hAnsi="仿宋_GB2312" w:eastAsia="仿宋_GB2312" w:cs="仿宋_GB2312"/>
          <w:sz w:val="32"/>
          <w:szCs w:val="32"/>
        </w:rPr>
      </w:pPr>
    </w:p>
    <w:p w14:paraId="5F296DFE">
      <w:pPr>
        <w:spacing w:line="570" w:lineRule="exact"/>
        <w:ind w:firstLine="640" w:firstLineChars="200"/>
        <w:rPr>
          <w:rFonts w:hint="eastAsia" w:ascii="仿宋_GB2312" w:hAnsi="仿宋_GB2312" w:eastAsia="仿宋_GB2312" w:cs="仿宋_GB2312"/>
          <w:sz w:val="32"/>
          <w:szCs w:val="32"/>
        </w:rPr>
      </w:pPr>
    </w:p>
    <w:p w14:paraId="7DAA0337">
      <w:pPr>
        <w:spacing w:line="570" w:lineRule="exact"/>
        <w:ind w:firstLine="640" w:firstLineChars="200"/>
        <w:rPr>
          <w:rFonts w:hint="eastAsia" w:ascii="仿宋_GB2312" w:hAnsi="仿宋_GB2312" w:eastAsia="仿宋_GB2312" w:cs="仿宋_GB2312"/>
          <w:sz w:val="32"/>
          <w:szCs w:val="32"/>
        </w:rPr>
      </w:pPr>
    </w:p>
    <w:p w14:paraId="1A569855">
      <w:pPr>
        <w:spacing w:line="570" w:lineRule="exact"/>
        <w:ind w:firstLine="640" w:firstLineChars="200"/>
        <w:rPr>
          <w:rFonts w:hint="eastAsia" w:ascii="仿宋_GB2312" w:hAnsi="仿宋_GB2312" w:eastAsia="仿宋_GB2312" w:cs="仿宋_GB2312"/>
          <w:sz w:val="32"/>
          <w:szCs w:val="32"/>
        </w:rPr>
      </w:pPr>
    </w:p>
    <w:p w14:paraId="20563AE5">
      <w:pPr>
        <w:spacing w:line="570" w:lineRule="exact"/>
        <w:ind w:firstLine="640" w:firstLineChars="200"/>
        <w:rPr>
          <w:rFonts w:hint="eastAsia" w:ascii="仿宋_GB2312" w:hAnsi="仿宋_GB2312" w:eastAsia="仿宋_GB2312" w:cs="仿宋_GB2312"/>
          <w:sz w:val="32"/>
          <w:szCs w:val="32"/>
        </w:rPr>
      </w:pPr>
    </w:p>
    <w:p w14:paraId="76AC0131">
      <w:pPr>
        <w:spacing w:line="570" w:lineRule="exact"/>
        <w:ind w:left="640"/>
        <w:outlineLvl w:val="1"/>
        <w:rPr>
          <w:rFonts w:hint="eastAsia" w:ascii="楷体" w:hAnsi="楷体" w:eastAsia="楷体" w:cs="楷体"/>
          <w:sz w:val="32"/>
          <w:szCs w:val="32"/>
        </w:rPr>
      </w:pPr>
      <w:bookmarkStart w:id="19" w:name="_Toc207198110"/>
      <w:r>
        <w:rPr>
          <w:rFonts w:hint="eastAsia" w:ascii="楷体" w:hAnsi="楷体" w:eastAsia="楷体" w:cs="楷体"/>
          <w:sz w:val="32"/>
          <w:szCs w:val="32"/>
        </w:rPr>
        <w:t>（八）电气线路基本情况</w:t>
      </w:r>
      <w:bookmarkEnd w:id="19"/>
    </w:p>
    <w:p w14:paraId="09980A5B">
      <w:pPr>
        <w:tabs>
          <w:tab w:val="left" w:pos="312"/>
        </w:tabs>
        <w:spacing w:line="57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1.涉事电气线路现场总体情况</w:t>
      </w:r>
    </w:p>
    <w:p w14:paraId="57C031F7">
      <w:pPr>
        <w:tabs>
          <w:tab w:val="left" w:pos="312"/>
        </w:tabs>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现场涉事电线线路分为两部分，其中，室内移动电气设备至墙面五孔插座为临时用电线路，墙面五孔插座至配电房为固定用电线路。</w:t>
      </w:r>
    </w:p>
    <w:p w14:paraId="2CF46595">
      <w:pPr>
        <w:tabs>
          <w:tab w:val="left" w:pos="312"/>
        </w:tabs>
        <w:spacing w:line="570" w:lineRule="exac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现场室内移动电气设备角磨机、焊机、排风扇同时接入放置在抛丸机振动筛东侧边缘的拖线板，拖线板接入抛丸机房南侧墙面的五孔插座，五孔插座接入东侧的配电箱内，东侧配电箱接入北侧配电箱，北侧配电箱接入南洋中京公司配电房。</w:t>
      </w:r>
    </w:p>
    <w:p w14:paraId="52D93ED0">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4384" behindDoc="1" locked="0" layoutInCell="1" allowOverlap="1">
            <wp:simplePos x="0" y="0"/>
            <wp:positionH relativeFrom="column">
              <wp:posOffset>1330325</wp:posOffset>
            </wp:positionH>
            <wp:positionV relativeFrom="paragraph">
              <wp:posOffset>-109855</wp:posOffset>
            </wp:positionV>
            <wp:extent cx="3085465" cy="3312160"/>
            <wp:effectExtent l="0" t="0" r="0" b="0"/>
            <wp:wrapTight wrapText="bothSides">
              <wp:wrapPolygon>
                <wp:start x="0" y="0"/>
                <wp:lineTo x="0" y="21492"/>
                <wp:lineTo x="21471" y="21492"/>
                <wp:lineTo x="21471" y="0"/>
                <wp:lineTo x="0" y="0"/>
              </wp:wrapPolygon>
            </wp:wrapTight>
            <wp:docPr id="24" name="图片 24" descr="17550712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55071228258"/>
                    <pic:cNvPicPr>
                      <a:picLocks noChangeAspect="1"/>
                    </pic:cNvPicPr>
                  </pic:nvPicPr>
                  <pic:blipFill>
                    <a:blip r:embed="rId20"/>
                    <a:stretch>
                      <a:fillRect/>
                    </a:stretch>
                  </pic:blipFill>
                  <pic:spPr>
                    <a:xfrm>
                      <a:off x="0" y="0"/>
                      <a:ext cx="3085465" cy="3312160"/>
                    </a:xfrm>
                    <a:prstGeom prst="rect">
                      <a:avLst/>
                    </a:prstGeom>
                  </pic:spPr>
                </pic:pic>
              </a:graphicData>
            </a:graphic>
          </wp:anchor>
        </w:drawing>
      </w:r>
    </w:p>
    <w:p w14:paraId="41BA5347">
      <w:pPr>
        <w:spacing w:line="570" w:lineRule="exact"/>
        <w:ind w:firstLine="640" w:firstLineChars="200"/>
        <w:rPr>
          <w:rFonts w:hint="eastAsia" w:ascii="仿宋_GB2312" w:hAnsi="仿宋_GB2312" w:eastAsia="仿宋_GB2312" w:cs="仿宋_GB2312"/>
          <w:sz w:val="32"/>
          <w:szCs w:val="32"/>
        </w:rPr>
      </w:pPr>
    </w:p>
    <w:p w14:paraId="10DADD42">
      <w:pPr>
        <w:spacing w:line="570" w:lineRule="exact"/>
        <w:ind w:firstLine="640" w:firstLineChars="200"/>
        <w:rPr>
          <w:rFonts w:hint="eastAsia" w:ascii="仿宋_GB2312" w:hAnsi="仿宋_GB2312" w:eastAsia="仿宋_GB2312" w:cs="仿宋_GB2312"/>
          <w:sz w:val="32"/>
          <w:szCs w:val="32"/>
        </w:rPr>
      </w:pPr>
    </w:p>
    <w:p w14:paraId="16BCD418">
      <w:pPr>
        <w:spacing w:line="570" w:lineRule="exact"/>
        <w:ind w:firstLine="640" w:firstLineChars="200"/>
        <w:rPr>
          <w:rFonts w:hint="eastAsia" w:ascii="仿宋_GB2312" w:hAnsi="仿宋_GB2312" w:eastAsia="仿宋_GB2312" w:cs="仿宋_GB2312"/>
          <w:sz w:val="32"/>
          <w:szCs w:val="32"/>
        </w:rPr>
      </w:pPr>
    </w:p>
    <w:p w14:paraId="1F2F0912">
      <w:pPr>
        <w:spacing w:line="570" w:lineRule="exact"/>
        <w:ind w:firstLine="640" w:firstLineChars="200"/>
        <w:rPr>
          <w:rFonts w:hint="eastAsia" w:ascii="仿宋_GB2312" w:hAnsi="仿宋_GB2312" w:eastAsia="仿宋_GB2312" w:cs="仿宋_GB2312"/>
          <w:sz w:val="32"/>
          <w:szCs w:val="32"/>
        </w:rPr>
      </w:pPr>
    </w:p>
    <w:p w14:paraId="60FA1636">
      <w:pPr>
        <w:spacing w:line="570" w:lineRule="exact"/>
        <w:ind w:firstLine="640" w:firstLineChars="200"/>
        <w:rPr>
          <w:rFonts w:hint="eastAsia" w:ascii="仿宋_GB2312" w:hAnsi="仿宋_GB2312" w:eastAsia="仿宋_GB2312" w:cs="仿宋_GB2312"/>
          <w:sz w:val="32"/>
          <w:szCs w:val="32"/>
        </w:rPr>
      </w:pPr>
    </w:p>
    <w:p w14:paraId="73E35EE4">
      <w:pPr>
        <w:spacing w:line="570" w:lineRule="exact"/>
        <w:ind w:firstLine="640" w:firstLineChars="200"/>
        <w:rPr>
          <w:rFonts w:hint="eastAsia" w:ascii="仿宋_GB2312" w:hAnsi="仿宋_GB2312" w:eastAsia="仿宋_GB2312" w:cs="仿宋_GB2312"/>
          <w:sz w:val="32"/>
          <w:szCs w:val="32"/>
        </w:rPr>
      </w:pPr>
    </w:p>
    <w:p w14:paraId="17189133">
      <w:pPr>
        <w:spacing w:line="570" w:lineRule="exact"/>
        <w:ind w:firstLine="640" w:firstLineChars="200"/>
        <w:rPr>
          <w:rFonts w:hint="eastAsia" w:ascii="仿宋_GB2312" w:hAnsi="仿宋_GB2312" w:eastAsia="仿宋_GB2312" w:cs="仿宋_GB2312"/>
          <w:sz w:val="32"/>
          <w:szCs w:val="32"/>
        </w:rPr>
      </w:pPr>
    </w:p>
    <w:p w14:paraId="7FDE8B13">
      <w:pPr>
        <w:spacing w:line="570" w:lineRule="exact"/>
        <w:ind w:firstLine="640" w:firstLineChars="200"/>
        <w:rPr>
          <w:rFonts w:hint="eastAsia" w:ascii="仿宋_GB2312" w:hAnsi="仿宋_GB2312" w:eastAsia="仿宋_GB2312" w:cs="仿宋_GB2312"/>
          <w:sz w:val="32"/>
          <w:szCs w:val="32"/>
        </w:rPr>
      </w:pPr>
    </w:p>
    <w:p w14:paraId="78DCEDF3">
      <w:pPr>
        <w:tabs>
          <w:tab w:val="left" w:pos="312"/>
        </w:tabs>
        <w:spacing w:line="570" w:lineRule="exact"/>
        <w:rPr>
          <w:rFonts w:hint="eastAsia" w:ascii="仿宋_GB2312" w:hAnsi="仿宋_GB2312" w:eastAsia="仿宋_GB2312" w:cs="仿宋_GB2312"/>
          <w:b/>
          <w:sz w:val="32"/>
          <w:szCs w:val="32"/>
        </w:rPr>
      </w:pPr>
    </w:p>
    <w:p w14:paraId="51459510">
      <w:pPr>
        <w:tabs>
          <w:tab w:val="left" w:pos="312"/>
        </w:tabs>
        <w:spacing w:line="57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2.配电箱电力系统情况</w:t>
      </w:r>
    </w:p>
    <w:p w14:paraId="14536AA9">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（1）北侧配电箱，</w:t>
      </w:r>
      <w:r>
        <w:rPr>
          <w:rFonts w:hint="eastAsia" w:ascii="仿宋_GB2312" w:hAnsi="仿宋_GB2312" w:eastAsia="仿宋_GB2312" w:cs="仿宋_GB2312"/>
          <w:sz w:val="32"/>
          <w:szCs w:val="32"/>
        </w:rPr>
        <w:drawing>
          <wp:anchor distT="0" distB="0" distL="114300" distR="114300" simplePos="0" relativeHeight="251666432" behindDoc="1" locked="0" layoutInCell="1" allowOverlap="1">
            <wp:simplePos x="0" y="0"/>
            <wp:positionH relativeFrom="column">
              <wp:posOffset>2967355</wp:posOffset>
            </wp:positionH>
            <wp:positionV relativeFrom="paragraph">
              <wp:posOffset>890270</wp:posOffset>
            </wp:positionV>
            <wp:extent cx="2352675" cy="3291840"/>
            <wp:effectExtent l="0" t="0" r="9525" b="3810"/>
            <wp:wrapTight wrapText="bothSides">
              <wp:wrapPolygon>
                <wp:start x="0" y="0"/>
                <wp:lineTo x="0" y="21500"/>
                <wp:lineTo x="21513" y="21500"/>
                <wp:lineTo x="21513" y="0"/>
                <wp:lineTo x="0" y="0"/>
              </wp:wrapPolygon>
            </wp:wrapTight>
            <wp:docPr id="26" name="图片 26" descr="175507146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55071466286"/>
                    <pic:cNvPicPr>
                      <a:picLocks noChangeAspect="1"/>
                    </pic:cNvPicPr>
                  </pic:nvPicPr>
                  <pic:blipFill>
                    <a:blip r:embed="rId21"/>
                    <a:stretch>
                      <a:fillRect/>
                    </a:stretch>
                  </pic:blipFill>
                  <pic:spPr>
                    <a:xfrm>
                      <a:off x="0" y="0"/>
                      <a:ext cx="2352675" cy="3291840"/>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5408" behindDoc="1" locked="0" layoutInCell="1" allowOverlap="1">
            <wp:simplePos x="0" y="0"/>
            <wp:positionH relativeFrom="column">
              <wp:posOffset>147955</wp:posOffset>
            </wp:positionH>
            <wp:positionV relativeFrom="paragraph">
              <wp:posOffset>897890</wp:posOffset>
            </wp:positionV>
            <wp:extent cx="2343150" cy="3291840"/>
            <wp:effectExtent l="0" t="0" r="0" b="3810"/>
            <wp:wrapTight wrapText="bothSides">
              <wp:wrapPolygon>
                <wp:start x="0" y="0"/>
                <wp:lineTo x="0" y="21500"/>
                <wp:lineTo x="21424" y="21500"/>
                <wp:lineTo x="21424" y="0"/>
                <wp:lineTo x="0" y="0"/>
              </wp:wrapPolygon>
            </wp:wrapTight>
            <wp:docPr id="25" name="图片 25" descr="175507143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55071439922"/>
                    <pic:cNvPicPr>
                      <a:picLocks noChangeAspect="1"/>
                    </pic:cNvPicPr>
                  </pic:nvPicPr>
                  <pic:blipFill>
                    <a:blip r:embed="rId22"/>
                    <a:stretch>
                      <a:fillRect/>
                    </a:stretch>
                  </pic:blipFill>
                  <pic:spPr>
                    <a:xfrm>
                      <a:off x="0" y="0"/>
                      <a:ext cx="2343150" cy="3291840"/>
                    </a:xfrm>
                    <a:prstGeom prst="rect">
                      <a:avLst/>
                    </a:prstGeom>
                  </pic:spPr>
                </pic:pic>
              </a:graphicData>
            </a:graphic>
          </wp:anchor>
        </w:drawing>
      </w:r>
      <w:r>
        <w:rPr>
          <w:rFonts w:hint="eastAsia" w:ascii="仿宋_GB2312" w:hAnsi="仿宋_GB2312" w:eastAsia="仿宋_GB2312" w:cs="仿宋_GB2312"/>
          <w:sz w:val="32"/>
          <w:szCs w:val="32"/>
        </w:rPr>
        <w:t>根据涉事1#车间，北侧配电箱接线情况，可以判定该电路系统为TN-S电力保护系统。</w:t>
      </w:r>
    </w:p>
    <w:p w14:paraId="25CED56A">
      <w:pPr>
        <w:spacing w:line="570" w:lineRule="exact"/>
        <w:ind w:firstLine="640" w:firstLineChars="200"/>
        <w:rPr>
          <w:rFonts w:hint="eastAsia" w:ascii="仿宋_GB2312" w:hAnsi="仿宋_GB2312" w:eastAsia="仿宋_GB2312" w:cs="仿宋_GB2312"/>
          <w:sz w:val="32"/>
          <w:szCs w:val="32"/>
        </w:rPr>
      </w:pPr>
    </w:p>
    <w:p w14:paraId="38D1D3A4">
      <w:pPr>
        <w:tabs>
          <w:tab w:val="left" w:pos="666"/>
        </w:tabs>
        <w:jc w:val="left"/>
      </w:pPr>
      <w:r>
        <w:rPr>
          <w:rFonts w:hint="eastAsia"/>
        </w:rPr>
        <w:tab/>
      </w:r>
      <w:r>
        <w:rPr>
          <w:rFonts w:hint="eastAsia"/>
        </w:rPr>
        <w:t xml:space="preserve">    </w:t>
      </w:r>
      <w:r>
        <w:rPr>
          <w:rFonts w:hint="eastAsia"/>
        </w:rPr>
        <w:tab/>
      </w:r>
      <w:r>
        <w:rPr>
          <w:rFonts w:hint="eastAsia"/>
        </w:rPr>
        <w:tab/>
      </w:r>
      <w:r>
        <w:rPr>
          <w:rFonts w:hint="eastAsia"/>
        </w:rPr>
        <w:tab/>
      </w:r>
      <w:r>
        <w:rPr>
          <w:rFonts w:hint="eastAsia"/>
        </w:rPr>
        <w:tab/>
      </w:r>
    </w:p>
    <w:p w14:paraId="47A7EB1E">
      <w:pPr>
        <w:spacing w:line="57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（2）东侧配电箱，涉事东侧配电箱从北侧配电箱接出，总开关下设6个分开关，再下有9个空气开关</w:t>
      </w:r>
      <w:r>
        <w:rPr>
          <w:rFonts w:hint="eastAsia"/>
          <w:vertAlign w:val="superscript"/>
        </w:rPr>
        <w:footnoteReference w:id="1"/>
      </w:r>
      <w:r>
        <w:rPr>
          <w:rFonts w:hint="eastAsia" w:ascii="仿宋" w:hAnsi="仿宋" w:eastAsia="仿宋" w:cs="仿宋"/>
          <w:sz w:val="32"/>
          <w:szCs w:val="32"/>
        </w:rPr>
        <w:t>和2个三脚插座。涉事五孔插座取电至</w:t>
      </w:r>
      <w:r>
        <w:rPr>
          <w:rFonts w:hint="eastAsia" w:eastAsia="仿宋_GB2312"/>
          <w:sz w:val="32"/>
          <w:szCs w:val="32"/>
        </w:rPr>
        <w:t>额定电流20A的</w:t>
      </w:r>
      <w:r>
        <w:rPr>
          <w:rFonts w:hint="eastAsia" w:ascii="仿宋" w:hAnsi="仿宋" w:eastAsia="仿宋" w:cs="仿宋"/>
          <w:sz w:val="32"/>
          <w:szCs w:val="32"/>
        </w:rPr>
        <w:t>空气开关。</w:t>
      </w:r>
    </w:p>
    <w:p w14:paraId="32D57669">
      <w:pPr>
        <w:rPr>
          <w:rFonts w:hint="eastAsia" w:ascii="仿宋" w:hAnsi="仿宋" w:eastAsia="仿宋" w:cs="仿宋"/>
          <w:sz w:val="32"/>
          <w:szCs w:val="32"/>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rPr>
        <w:drawing>
          <wp:inline distT="0" distB="0" distL="114300" distR="114300">
            <wp:extent cx="2581275" cy="3619500"/>
            <wp:effectExtent l="0" t="0" r="9525" b="0"/>
            <wp:docPr id="30" name="图片 30" descr="175507185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55071857207"/>
                    <pic:cNvPicPr>
                      <a:picLocks noChangeAspect="1"/>
                    </pic:cNvPicPr>
                  </pic:nvPicPr>
                  <pic:blipFill>
                    <a:blip r:embed="rId23"/>
                    <a:stretch>
                      <a:fillRect/>
                    </a:stretch>
                  </pic:blipFill>
                  <pic:spPr>
                    <a:xfrm>
                      <a:off x="0" y="0"/>
                      <a:ext cx="2581275" cy="3619500"/>
                    </a:xfrm>
                    <a:prstGeom prst="rect">
                      <a:avLst/>
                    </a:prstGeom>
                  </pic:spPr>
                </pic:pic>
              </a:graphicData>
            </a:graphic>
          </wp:inline>
        </w:drawing>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rPr>
        <w:drawing>
          <wp:inline distT="0" distB="0" distL="114300" distR="114300">
            <wp:extent cx="2552700" cy="3619500"/>
            <wp:effectExtent l="0" t="0" r="0" b="0"/>
            <wp:docPr id="31" name="图片 31" descr="175507189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55071892553"/>
                    <pic:cNvPicPr>
                      <a:picLocks noChangeAspect="1"/>
                    </pic:cNvPicPr>
                  </pic:nvPicPr>
                  <pic:blipFill>
                    <a:blip r:embed="rId24"/>
                    <a:stretch>
                      <a:fillRect/>
                    </a:stretch>
                  </pic:blipFill>
                  <pic:spPr>
                    <a:xfrm>
                      <a:off x="0" y="0"/>
                      <a:ext cx="2552700" cy="3619500"/>
                    </a:xfrm>
                    <a:prstGeom prst="rect">
                      <a:avLst/>
                    </a:prstGeom>
                  </pic:spPr>
                </pic:pic>
              </a:graphicData>
            </a:graphic>
          </wp:inline>
        </w:drawing>
      </w:r>
    </w:p>
    <w:p w14:paraId="5924FD76">
      <w:pPr>
        <w:spacing w:line="570" w:lineRule="exact"/>
        <w:ind w:firstLine="640" w:firstLineChars="200"/>
        <w:rPr>
          <w:rFonts w:hint="eastAsia" w:ascii="仿宋_GB2312" w:hAnsi="仿宋_GB2312" w:eastAsia="仿宋" w:cs="仿宋_GB2312"/>
          <w:b/>
          <w:sz w:val="32"/>
          <w:szCs w:val="32"/>
        </w:rPr>
      </w:pPr>
      <w:r>
        <w:rPr>
          <w:rFonts w:hint="eastAsia" w:ascii="仿宋" w:hAnsi="仿宋" w:eastAsia="仿宋" w:cs="仿宋"/>
          <w:sz w:val="32"/>
          <w:szCs w:val="32"/>
        </w:rPr>
        <w:t>现场所用的空气开关为</w:t>
      </w:r>
      <w:r>
        <w:rPr>
          <w:rFonts w:ascii="仿宋" w:hAnsi="仿宋" w:eastAsia="仿宋" w:cs="仿宋"/>
          <w:sz w:val="32"/>
          <w:szCs w:val="32"/>
        </w:rPr>
        <w:t>C2</w:t>
      </w:r>
      <w:r>
        <w:rPr>
          <w:rFonts w:hint="eastAsia" w:ascii="仿宋" w:hAnsi="仿宋" w:eastAsia="仿宋" w:cs="仿宋"/>
          <w:sz w:val="32"/>
          <w:szCs w:val="32"/>
        </w:rPr>
        <w:t>0型，该空开工作额定电流为20A，击穿电流为6000</w:t>
      </w:r>
      <w:r>
        <w:rPr>
          <w:rFonts w:ascii="仿宋" w:hAnsi="仿宋" w:eastAsia="仿宋" w:cs="仿宋"/>
          <w:sz w:val="32"/>
          <w:szCs w:val="32"/>
        </w:rPr>
        <w:t>A</w:t>
      </w:r>
      <w:r>
        <w:rPr>
          <w:rFonts w:hint="eastAsia" w:ascii="仿宋" w:hAnsi="仿宋" w:eastAsia="仿宋" w:cs="仿宋"/>
          <w:sz w:val="32"/>
          <w:szCs w:val="32"/>
        </w:rPr>
        <w:t>，过载电流约25</w:t>
      </w:r>
      <w:r>
        <w:rPr>
          <w:rFonts w:ascii="仿宋" w:hAnsi="仿宋" w:eastAsia="仿宋" w:cs="仿宋"/>
          <w:sz w:val="32"/>
          <w:szCs w:val="32"/>
        </w:rPr>
        <w:t>A</w:t>
      </w:r>
      <w:r>
        <w:rPr>
          <w:rFonts w:hint="eastAsia" w:ascii="仿宋" w:hAnsi="仿宋" w:eastAsia="仿宋" w:cs="仿宋"/>
          <w:sz w:val="32"/>
          <w:szCs w:val="32"/>
        </w:rPr>
        <w:t>。人体电阻一般为2000—3000Ω，夏天约650Ω，即此时电流为220v/650Ω=0.34A，远小于过载电流，即事故发生时空气开关不会工作。</w:t>
      </w:r>
    </w:p>
    <w:p w14:paraId="0A5BABC8">
      <w:pPr>
        <w:spacing w:line="570" w:lineRule="exact"/>
        <w:ind w:firstLine="640" w:firstLineChars="200"/>
        <w:outlineLvl w:val="1"/>
        <w:rPr>
          <w:rFonts w:hint="eastAsia" w:ascii="楷体" w:hAnsi="楷体" w:eastAsia="楷体" w:cs="楷体"/>
          <w:sz w:val="32"/>
          <w:szCs w:val="32"/>
        </w:rPr>
      </w:pPr>
      <w:bookmarkStart w:id="20" w:name="_Toc207198111"/>
      <w:r>
        <w:rPr>
          <w:rFonts w:hint="eastAsia" w:ascii="楷体" w:hAnsi="楷体" w:eastAsia="楷体" w:cs="楷体"/>
          <w:sz w:val="32"/>
          <w:szCs w:val="32"/>
        </w:rPr>
        <w:t>（九）作业进程</w:t>
      </w:r>
      <w:bookmarkEnd w:id="20"/>
    </w:p>
    <w:p w14:paraId="25EA3D5A">
      <w:pPr>
        <w:spacing w:line="360" w:lineRule="auto"/>
        <w:ind w:firstLine="640" w:firstLineChars="200"/>
        <w:rPr>
          <w:rFonts w:eastAsia="仿宋_GB2312"/>
          <w:sz w:val="32"/>
          <w:szCs w:val="32"/>
        </w:rPr>
      </w:pPr>
      <w:r>
        <w:rPr>
          <w:rFonts w:hint="eastAsia" w:eastAsia="仿宋_GB2312"/>
          <w:sz w:val="32"/>
          <w:szCs w:val="32"/>
        </w:rPr>
        <w:t>2025年6月7日前，南洋中京公司1#车间抛丸机作业人员曹建，班组长杨武静向锻造车间主任白永利汇报2#抛丸机需要维修，白永利和车间主任王为先确认维修时间后联系科莱瑞公司戚爱冬到厂。6月7日至8日，科莱瑞公司负责人戚爱冬到南洋中京公司维修2#抛丸机抛头漏砂问题时发现该抛丸机的室体内护板磨损严重，抛头电机有异常，于是和白永利说明情况，下次过来一起维修，白永利将相关情况反馈给该车间主任王为先，安排下次维修时间。6月12日，白永利与王为先沟通后，联系科莱瑞公司戚爱冬次日过来维修抛丸机。6月13日，戚爱冬安排董汉荣到南洋中京公司进行抛丸机维修工作。</w:t>
      </w:r>
    </w:p>
    <w:p w14:paraId="317B480A">
      <w:pPr>
        <w:spacing w:line="570" w:lineRule="exact"/>
        <w:ind w:firstLine="640" w:firstLineChars="200"/>
        <w:outlineLvl w:val="0"/>
        <w:rPr>
          <w:rFonts w:hint="eastAsia" w:ascii="黑体" w:hAnsi="黑体" w:eastAsia="黑体" w:cs="黑体"/>
          <w:bCs/>
          <w:sz w:val="32"/>
          <w:szCs w:val="32"/>
        </w:rPr>
      </w:pPr>
      <w:bookmarkStart w:id="21" w:name="_Toc207198112"/>
      <w:bookmarkStart w:id="22" w:name="_Toc156910609"/>
      <w:r>
        <w:rPr>
          <w:rFonts w:hint="eastAsia" w:ascii="黑体" w:hAnsi="黑体" w:eastAsia="黑体" w:cs="黑体"/>
          <w:bCs/>
          <w:sz w:val="32"/>
          <w:szCs w:val="32"/>
        </w:rPr>
        <w:t>二、</w:t>
      </w:r>
      <w:r>
        <w:rPr>
          <w:rFonts w:ascii="黑体" w:hAnsi="黑体" w:eastAsia="黑体" w:cs="黑体"/>
          <w:bCs/>
          <w:sz w:val="32"/>
          <w:szCs w:val="32"/>
        </w:rPr>
        <w:t>事故</w:t>
      </w:r>
      <w:r>
        <w:rPr>
          <w:rFonts w:hint="eastAsia" w:ascii="黑体" w:hAnsi="黑体" w:eastAsia="黑体" w:cs="黑体"/>
          <w:bCs/>
          <w:sz w:val="32"/>
          <w:szCs w:val="32"/>
        </w:rPr>
        <w:t>发生经过及应急处置</w:t>
      </w:r>
      <w:bookmarkEnd w:id="21"/>
      <w:bookmarkEnd w:id="22"/>
    </w:p>
    <w:p w14:paraId="29533DEC">
      <w:pPr>
        <w:spacing w:line="570" w:lineRule="exact"/>
        <w:ind w:firstLine="640" w:firstLineChars="200"/>
        <w:outlineLvl w:val="1"/>
        <w:rPr>
          <w:rFonts w:hint="eastAsia" w:ascii="楷体" w:hAnsi="楷体" w:eastAsia="楷体" w:cs="楷体"/>
          <w:bCs/>
          <w:sz w:val="32"/>
          <w:szCs w:val="32"/>
        </w:rPr>
      </w:pPr>
      <w:bookmarkStart w:id="23" w:name="_Toc22260"/>
      <w:bookmarkStart w:id="24" w:name="_Toc207198113"/>
      <w:bookmarkStart w:id="25" w:name="_Toc156910610"/>
      <w:r>
        <w:rPr>
          <w:rFonts w:hint="eastAsia" w:ascii="楷体" w:hAnsi="楷体" w:eastAsia="楷体" w:cs="楷体"/>
          <w:bCs/>
          <w:sz w:val="32"/>
          <w:szCs w:val="32"/>
        </w:rPr>
        <w:t>（一）事故发生经过</w:t>
      </w:r>
      <w:bookmarkEnd w:id="23"/>
      <w:bookmarkEnd w:id="24"/>
      <w:bookmarkEnd w:id="25"/>
    </w:p>
    <w:p w14:paraId="24136845">
      <w:pPr>
        <w:spacing w:line="360" w:lineRule="auto"/>
        <w:ind w:firstLine="640" w:firstLineChars="200"/>
        <w:rPr>
          <w:rFonts w:ascii="仿宋_GB2312" w:eastAsia="仿宋_GB2312"/>
          <w:sz w:val="32"/>
          <w:szCs w:val="32"/>
        </w:rPr>
      </w:pPr>
      <w:r>
        <w:rPr>
          <w:rFonts w:hint="eastAsia" w:ascii="仿宋_GB2312" w:eastAsia="仿宋_GB2312"/>
          <w:sz w:val="32"/>
          <w:szCs w:val="32"/>
        </w:rPr>
        <w:t>2025年6月13日12点左右，科莱瑞公司总经理戚爱冬和抛丸机维修工董汉荣一起到南洋中京公司1#车间2#抛丸机，让操作人员沈永民和曹建停止2#抛丸机运行。随后，戚爱冬安排董汉荣更换抛丸机抛头电机以及将磨损的钢板进行更换，董汉荣用电时将拖线板连接到东侧墙面五孔插座，并将相关室内移动电器设备插到拖线板，13日当天董汉荣将抛头电机进行了更换。</w:t>
      </w:r>
    </w:p>
    <w:p w14:paraId="7ADEC4A7">
      <w:pPr>
        <w:spacing w:line="360" w:lineRule="auto"/>
        <w:ind w:firstLine="640" w:firstLineChars="200"/>
        <w:rPr>
          <w:rFonts w:ascii="仿宋_GB2312" w:eastAsia="仿宋_GB2312"/>
          <w:sz w:val="32"/>
          <w:szCs w:val="32"/>
        </w:rPr>
      </w:pPr>
      <w:r>
        <w:rPr>
          <w:rFonts w:hint="eastAsia" w:ascii="仿宋_GB2312" w:eastAsia="仿宋_GB2312"/>
          <w:sz w:val="32"/>
          <w:szCs w:val="32"/>
        </w:rPr>
        <w:t>6月14日7点左右，科莱瑞公司戚爱冬将维修工董汉荣送至南洋中京公司1#车间2#抛丸机处后离开现场。董汉荣对需要更换的抛丸机钢板进行切割（在切割过程中焊机、排风扇、角磨机的电源线依旧放置于抛丸机振动筛），过程中割下的高温钢板落到角磨机电源线上，角磨机电源线保护皮被热融后内部铜丝裸露漏电，发生触电。</w:t>
      </w:r>
    </w:p>
    <w:p w14:paraId="3F97981E">
      <w:pPr>
        <w:spacing w:line="570" w:lineRule="exact"/>
        <w:ind w:firstLine="640" w:firstLineChars="200"/>
        <w:outlineLvl w:val="1"/>
        <w:rPr>
          <w:rFonts w:hint="eastAsia" w:ascii="楷体" w:hAnsi="楷体" w:eastAsia="楷体" w:cs="楷体"/>
          <w:bCs/>
          <w:sz w:val="32"/>
          <w:szCs w:val="32"/>
        </w:rPr>
      </w:pPr>
      <w:bookmarkStart w:id="26" w:name="_Toc5008"/>
      <w:bookmarkStart w:id="27" w:name="_Toc207198114"/>
      <w:bookmarkStart w:id="28" w:name="_Toc156910611"/>
      <w:r>
        <w:rPr>
          <w:rFonts w:hint="eastAsia" w:ascii="楷体" w:hAnsi="楷体" w:eastAsia="楷体" w:cs="楷体"/>
          <w:bCs/>
          <w:sz w:val="32"/>
          <w:szCs w:val="32"/>
        </w:rPr>
        <w:t>（二）现场处置情况</w:t>
      </w:r>
      <w:bookmarkEnd w:id="26"/>
      <w:bookmarkEnd w:id="27"/>
      <w:bookmarkEnd w:id="28"/>
    </w:p>
    <w:p w14:paraId="4DA88670">
      <w:pPr>
        <w:spacing w:line="360" w:lineRule="auto"/>
        <w:ind w:firstLine="640" w:firstLineChars="200"/>
        <w:rPr>
          <w:rFonts w:ascii="仿宋_GB2312" w:eastAsia="仿宋_GB2312"/>
          <w:sz w:val="32"/>
          <w:szCs w:val="32"/>
        </w:rPr>
      </w:pPr>
      <w:r>
        <w:rPr>
          <w:rFonts w:hint="eastAsia" w:ascii="仿宋_GB2312" w:eastAsia="仿宋_GB2312"/>
          <w:sz w:val="32"/>
          <w:szCs w:val="32"/>
        </w:rPr>
        <w:t>8点40分左右，南洋中京公司抛丸机操作工曹建发现董汉荣一动不动趴在抛丸机振动筛上，头朝东，脚朝西，立即喊人来救援，救援人员到后将其抱下，发现手臂上和肚皮上表皮已破，几人对其进行心肺复苏抢救，后120到达现场，经抢救无效死亡</w:t>
      </w:r>
      <w:r>
        <w:rPr>
          <w:rFonts w:ascii="仿宋_GB2312" w:eastAsia="仿宋_GB2312"/>
          <w:sz w:val="32"/>
          <w:szCs w:val="32"/>
        </w:rPr>
        <w:t>。</w:t>
      </w:r>
    </w:p>
    <w:p w14:paraId="770C129C">
      <w:pPr>
        <w:spacing w:line="570" w:lineRule="exact"/>
        <w:ind w:firstLine="640" w:firstLineChars="200"/>
        <w:outlineLvl w:val="1"/>
        <w:rPr>
          <w:rFonts w:hint="eastAsia" w:ascii="楷体" w:hAnsi="楷体" w:eastAsia="楷体" w:cs="楷体"/>
          <w:bCs/>
          <w:sz w:val="32"/>
          <w:szCs w:val="32"/>
        </w:rPr>
      </w:pPr>
      <w:bookmarkStart w:id="29" w:name="_Toc156910612"/>
      <w:bookmarkStart w:id="30" w:name="_Toc14423"/>
      <w:bookmarkStart w:id="31" w:name="_Toc207198115"/>
      <w:r>
        <w:rPr>
          <w:rFonts w:ascii="楷体" w:hAnsi="楷体" w:eastAsia="楷体" w:cs="楷体"/>
          <w:bCs/>
          <w:sz w:val="32"/>
          <w:szCs w:val="32"/>
        </w:rPr>
        <w:t>（三）善后情况</w:t>
      </w:r>
      <w:bookmarkEnd w:id="29"/>
      <w:bookmarkEnd w:id="30"/>
      <w:bookmarkEnd w:id="31"/>
    </w:p>
    <w:p w14:paraId="380FE312">
      <w:pPr>
        <w:spacing w:line="570" w:lineRule="exact"/>
        <w:ind w:firstLine="640" w:firstLineChars="200"/>
        <w:rPr>
          <w:rFonts w:hint="eastAsia" w:ascii="仿宋_GB2312" w:hAnsi="仿宋_GB2312" w:eastAsia="仿宋_GB2312" w:cs="仿宋_GB2312"/>
          <w:sz w:val="32"/>
          <w:szCs w:val="32"/>
        </w:rPr>
      </w:pPr>
      <w:bookmarkStart w:id="32" w:name="_Toc25728"/>
      <w:bookmarkStart w:id="33" w:name="_Toc6067"/>
      <w:r>
        <w:rPr>
          <w:rFonts w:hint="eastAsia" w:ascii="仿宋_GB2312" w:hAnsi="仿宋_GB2312" w:eastAsia="仿宋_GB2312" w:cs="仿宋_GB2312"/>
          <w:sz w:val="32"/>
          <w:szCs w:val="32"/>
        </w:rPr>
        <w:t>事故发生后，死者家属和南洋中京及科莱瑞公司就赔偿问题达成一致意见，签订《调解协议书》</w:t>
      </w:r>
      <w:r>
        <w:rPr>
          <w:rStyle w:val="20"/>
          <w:rFonts w:ascii="仿宋_GB2312" w:hAnsi="仿宋_GB2312" w:eastAsia="仿宋_GB2312" w:cs="仿宋_GB2312"/>
          <w:sz w:val="32"/>
          <w:szCs w:val="32"/>
        </w:rPr>
        <w:footnoteReference w:id="2"/>
      </w:r>
      <w:r>
        <w:rPr>
          <w:rFonts w:hint="eastAsia" w:ascii="仿宋_GB2312" w:hAnsi="仿宋_GB2312" w:eastAsia="仿宋_GB2312" w:cs="仿宋_GB2312"/>
          <w:sz w:val="32"/>
          <w:szCs w:val="32"/>
        </w:rPr>
        <w:t>，目前善后处理工作已结束。</w:t>
      </w:r>
      <w:bookmarkEnd w:id="32"/>
      <w:bookmarkEnd w:id="33"/>
    </w:p>
    <w:p w14:paraId="4554CCA7">
      <w:pPr>
        <w:spacing w:line="570" w:lineRule="exact"/>
        <w:ind w:firstLine="640" w:firstLineChars="200"/>
        <w:outlineLvl w:val="0"/>
        <w:rPr>
          <w:rFonts w:hint="eastAsia" w:ascii="黑体" w:hAnsi="黑体" w:eastAsia="黑体" w:cs="黑体"/>
          <w:bCs/>
          <w:sz w:val="32"/>
          <w:szCs w:val="32"/>
        </w:rPr>
      </w:pPr>
      <w:bookmarkStart w:id="34" w:name="_Toc207198116"/>
      <w:bookmarkStart w:id="35" w:name="_Toc156910613"/>
      <w:r>
        <w:rPr>
          <w:rFonts w:ascii="黑体" w:hAnsi="黑体" w:eastAsia="黑体" w:cs="黑体"/>
          <w:bCs/>
          <w:sz w:val="32"/>
          <w:szCs w:val="32"/>
        </w:rPr>
        <w:t>三、事故原因分析</w:t>
      </w:r>
      <w:bookmarkEnd w:id="34"/>
      <w:bookmarkEnd w:id="35"/>
    </w:p>
    <w:p w14:paraId="65C00BA4">
      <w:pPr>
        <w:spacing w:line="570" w:lineRule="exact"/>
        <w:ind w:firstLine="640" w:firstLineChars="200"/>
        <w:outlineLvl w:val="1"/>
        <w:rPr>
          <w:rFonts w:eastAsia="楷体"/>
          <w:bCs/>
          <w:sz w:val="32"/>
          <w:szCs w:val="32"/>
        </w:rPr>
      </w:pPr>
      <w:bookmarkStart w:id="36" w:name="_Toc207198117"/>
      <w:bookmarkStart w:id="37" w:name="_Toc156910614"/>
      <w:r>
        <w:rPr>
          <w:rFonts w:eastAsia="楷体"/>
          <w:bCs/>
          <w:sz w:val="32"/>
          <w:szCs w:val="32"/>
        </w:rPr>
        <w:t>（一）直接原因</w:t>
      </w:r>
      <w:bookmarkEnd w:id="36"/>
      <w:bookmarkEnd w:id="37"/>
    </w:p>
    <w:p w14:paraId="44263AB0">
      <w:pPr>
        <w:spacing w:line="360" w:lineRule="auto"/>
        <w:ind w:firstLine="640" w:firstLineChars="200"/>
        <w:rPr>
          <w:rFonts w:eastAsia="仿宋_GB2312"/>
          <w:sz w:val="32"/>
          <w:szCs w:val="32"/>
        </w:rPr>
      </w:pPr>
      <w:bookmarkStart w:id="38" w:name="_Toc156910615"/>
      <w:r>
        <w:rPr>
          <w:rFonts w:hint="eastAsia" w:eastAsia="仿宋_GB2312"/>
          <w:sz w:val="32"/>
          <w:szCs w:val="32"/>
        </w:rPr>
        <w:t>1.科莱瑞公司临时用电现场存在安全风险，角磨机电线未采取安全防范措施且未放置安全区域。当进行热切割作业时，</w:t>
      </w:r>
      <w:r>
        <w:rPr>
          <w:rFonts w:hint="eastAsia" w:ascii="仿宋_GB2312" w:eastAsia="仿宋_GB2312"/>
          <w:sz w:val="32"/>
          <w:szCs w:val="32"/>
        </w:rPr>
        <w:t>割下的高温钢板将角磨机电源线绝缘皮融穿，发生触电</w:t>
      </w:r>
      <w:r>
        <w:rPr>
          <w:rFonts w:hint="eastAsia" w:eastAsia="仿宋_GB2312"/>
          <w:sz w:val="32"/>
          <w:szCs w:val="32"/>
        </w:rPr>
        <w:t>。</w:t>
      </w:r>
    </w:p>
    <w:p w14:paraId="3B692A33">
      <w:pPr>
        <w:spacing w:line="360" w:lineRule="auto"/>
        <w:ind w:firstLine="640" w:firstLineChars="200"/>
        <w:rPr>
          <w:rFonts w:eastAsia="仿宋_GB2312"/>
          <w:sz w:val="32"/>
          <w:szCs w:val="32"/>
        </w:rPr>
      </w:pPr>
      <w:r>
        <w:rPr>
          <w:rFonts w:hint="eastAsia" w:eastAsia="仿宋_GB2312"/>
          <w:sz w:val="32"/>
          <w:szCs w:val="32"/>
        </w:rPr>
        <w:t>2. 科莱瑞公司将电焊机、角磨机等室内移动电气设备接入</w:t>
      </w:r>
      <w:bookmarkStart w:id="39" w:name="OLE_LINK7"/>
      <w:r>
        <w:rPr>
          <w:rFonts w:hint="eastAsia" w:eastAsia="仿宋_GB2312"/>
          <w:sz w:val="32"/>
          <w:szCs w:val="32"/>
        </w:rPr>
        <w:t>南洋中京公司无剩余电流动作保护器</w:t>
      </w:r>
      <w:bookmarkEnd w:id="39"/>
      <w:r>
        <w:rPr>
          <w:rStyle w:val="20"/>
          <w:rFonts w:eastAsia="仿宋_GB2312"/>
          <w:sz w:val="32"/>
          <w:szCs w:val="32"/>
        </w:rPr>
        <w:footnoteReference w:id="3"/>
      </w:r>
      <w:r>
        <w:rPr>
          <w:rFonts w:hint="eastAsia" w:eastAsia="仿宋_GB2312"/>
          <w:sz w:val="32"/>
          <w:szCs w:val="32"/>
        </w:rPr>
        <w:t>的额定电流20A电路回路。</w:t>
      </w:r>
    </w:p>
    <w:p w14:paraId="290BFD30">
      <w:pPr>
        <w:spacing w:line="570" w:lineRule="exact"/>
        <w:ind w:firstLine="640" w:firstLineChars="200"/>
        <w:outlineLvl w:val="1"/>
        <w:rPr>
          <w:rFonts w:hint="eastAsia" w:ascii="仿宋_GB2312" w:hAnsi="仿宋_GB2312" w:eastAsia="仿宋_GB2312" w:cs="仿宋_GB2312"/>
          <w:sz w:val="32"/>
          <w:szCs w:val="32"/>
        </w:rPr>
      </w:pPr>
      <w:bookmarkStart w:id="40" w:name="_Toc207198118"/>
      <w:r>
        <w:rPr>
          <w:rFonts w:eastAsia="楷体"/>
          <w:bCs/>
          <w:sz w:val="32"/>
          <w:szCs w:val="32"/>
        </w:rPr>
        <w:t>（</w:t>
      </w:r>
      <w:r>
        <w:rPr>
          <w:rFonts w:hint="eastAsia" w:eastAsia="楷体"/>
          <w:bCs/>
          <w:sz w:val="32"/>
          <w:szCs w:val="32"/>
        </w:rPr>
        <w:t>二</w:t>
      </w:r>
      <w:r>
        <w:rPr>
          <w:rFonts w:eastAsia="楷体"/>
          <w:bCs/>
          <w:sz w:val="32"/>
          <w:szCs w:val="32"/>
        </w:rPr>
        <w:t>）</w:t>
      </w:r>
      <w:r>
        <w:rPr>
          <w:rFonts w:ascii="楷体" w:hAnsi="楷体" w:eastAsia="楷体" w:cs="楷体"/>
          <w:bCs/>
          <w:sz w:val="32"/>
          <w:szCs w:val="32"/>
        </w:rPr>
        <w:t>间接原因</w:t>
      </w:r>
      <w:bookmarkEnd w:id="38"/>
      <w:bookmarkEnd w:id="40"/>
      <w:r>
        <w:rPr>
          <w:rFonts w:ascii="仿宋_GB2312" w:hAnsi="仿宋_GB2312" w:eastAsia="仿宋_GB2312" w:cs="仿宋_GB2312"/>
          <w:sz w:val="32"/>
          <w:szCs w:val="32"/>
        </w:rPr>
        <w:t xml:space="preserve"> </w:t>
      </w:r>
    </w:p>
    <w:p w14:paraId="1A3269C7">
      <w:pPr>
        <w:ind w:firstLine="640" w:firstLineChars="200"/>
        <w:rPr>
          <w:rFonts w:ascii="仿宋_GB2312" w:eastAsia="仿宋_GB2312"/>
          <w:sz w:val="32"/>
          <w:szCs w:val="32"/>
        </w:rPr>
      </w:pPr>
      <w:bookmarkStart w:id="41" w:name="_Toc156910616"/>
      <w:r>
        <w:rPr>
          <w:rFonts w:hint="eastAsia" w:ascii="仿宋_GB2312" w:eastAsia="仿宋_GB2312"/>
          <w:sz w:val="32"/>
          <w:szCs w:val="32"/>
        </w:rPr>
        <w:t>1.安全风险评估缺失。科莱瑞公司临时用电，未对作业安全风险进行评估</w:t>
      </w:r>
      <w:r>
        <w:rPr>
          <w:rFonts w:hint="eastAsia" w:ascii="仿宋_GB2312" w:eastAsia="仿宋_GB2312"/>
          <w:sz w:val="32"/>
          <w:szCs w:val="32"/>
          <w:vertAlign w:val="superscript"/>
        </w:rPr>
        <w:footnoteReference w:id="4"/>
      </w:r>
      <w:r>
        <w:rPr>
          <w:rFonts w:hint="eastAsia" w:ascii="仿宋_GB2312" w:eastAsia="仿宋_GB2312"/>
          <w:sz w:val="32"/>
          <w:szCs w:val="32"/>
        </w:rPr>
        <w:t>，未对安全风险采取安全防范措施，未确认现场接入的电路是否符合安全作业要求装有</w:t>
      </w:r>
      <w:r>
        <w:rPr>
          <w:rFonts w:hint="eastAsia" w:eastAsia="仿宋_GB2312"/>
          <w:sz w:val="32"/>
          <w:szCs w:val="32"/>
        </w:rPr>
        <w:t>剩余电流动作保护器</w:t>
      </w:r>
      <w:r>
        <w:rPr>
          <w:rFonts w:hint="eastAsia" w:ascii="仿宋_GB2312" w:eastAsia="仿宋_GB2312"/>
          <w:sz w:val="32"/>
          <w:szCs w:val="32"/>
        </w:rPr>
        <w:t>。</w:t>
      </w:r>
    </w:p>
    <w:p w14:paraId="472915D0">
      <w:pPr>
        <w:ind w:firstLine="640" w:firstLineChars="200"/>
        <w:rPr>
          <w:rFonts w:ascii="仿宋_GB2312" w:eastAsia="仿宋_GB2312"/>
          <w:sz w:val="32"/>
          <w:szCs w:val="32"/>
        </w:rPr>
      </w:pPr>
      <w:r>
        <w:rPr>
          <w:rFonts w:hint="eastAsia" w:ascii="仿宋_GB2312" w:eastAsia="仿宋_GB2312"/>
          <w:sz w:val="32"/>
          <w:szCs w:val="32"/>
        </w:rPr>
        <w:t>2.安全技术交底缺失。在临时用电前，科莱瑞公司未对作业人员董汉荣进行安全技术交底</w:t>
      </w:r>
      <w:r>
        <w:rPr>
          <w:rFonts w:hint="eastAsia" w:ascii="仿宋_GB2312" w:eastAsia="仿宋_GB2312"/>
          <w:sz w:val="32"/>
          <w:szCs w:val="32"/>
          <w:vertAlign w:val="superscript"/>
        </w:rPr>
        <w:footnoteReference w:id="5"/>
      </w:r>
      <w:r>
        <w:rPr>
          <w:rFonts w:hint="eastAsia" w:ascii="仿宋_GB2312" w:eastAsia="仿宋_GB2312"/>
          <w:sz w:val="32"/>
          <w:szCs w:val="32"/>
        </w:rPr>
        <w:t>，告知临时用电过程中的风险、危险区域、防护措施、应急措施等相关安全措施，导致董汉荣进行热切割作业时，未能及时将</w:t>
      </w:r>
      <w:r>
        <w:rPr>
          <w:rFonts w:hint="eastAsia" w:eastAsia="仿宋_GB2312"/>
          <w:sz w:val="32"/>
          <w:szCs w:val="32"/>
        </w:rPr>
        <w:t>角磨机电源线放置于安全区域</w:t>
      </w:r>
      <w:r>
        <w:rPr>
          <w:rFonts w:hint="eastAsia" w:ascii="仿宋_GB2312" w:eastAsia="仿宋_GB2312"/>
          <w:sz w:val="32"/>
          <w:szCs w:val="32"/>
        </w:rPr>
        <w:t>。</w:t>
      </w:r>
    </w:p>
    <w:p w14:paraId="05E1C7D5">
      <w:pPr>
        <w:ind w:firstLine="640" w:firstLineChars="200"/>
        <w:rPr>
          <w:rFonts w:ascii="仿宋_GB2312" w:eastAsia="仿宋_GB2312"/>
          <w:sz w:val="32"/>
          <w:szCs w:val="32"/>
        </w:rPr>
      </w:pPr>
      <w:r>
        <w:rPr>
          <w:rFonts w:hint="eastAsia" w:ascii="仿宋_GB2312" w:eastAsia="仿宋_GB2312"/>
          <w:sz w:val="32"/>
          <w:szCs w:val="32"/>
        </w:rPr>
        <w:t>3.危险作业现场管理不到位</w:t>
      </w:r>
      <w:r>
        <w:rPr>
          <w:rStyle w:val="20"/>
          <w:rFonts w:hint="eastAsia" w:ascii="仿宋_GB2312" w:eastAsia="仿宋_GB2312"/>
          <w:sz w:val="32"/>
          <w:szCs w:val="32"/>
        </w:rPr>
        <w:footnoteReference w:id="6"/>
      </w:r>
      <w:r>
        <w:rPr>
          <w:rFonts w:hint="eastAsia" w:ascii="仿宋_GB2312" w:eastAsia="仿宋_GB2312"/>
          <w:sz w:val="32"/>
          <w:szCs w:val="32"/>
        </w:rPr>
        <w:t>。科莱瑞公司在安排无证人员进行动火、临时用电等危险作业时未安排专人进行现场管理，导致董汉荣进行热切割作业时，</w:t>
      </w:r>
      <w:r>
        <w:rPr>
          <w:rFonts w:hint="eastAsia" w:eastAsia="仿宋_GB2312"/>
          <w:sz w:val="32"/>
          <w:szCs w:val="32"/>
        </w:rPr>
        <w:t>角磨机电源线放置在危险区域无人管理</w:t>
      </w:r>
      <w:r>
        <w:rPr>
          <w:rFonts w:hint="eastAsia" w:ascii="仿宋_GB2312" w:eastAsia="仿宋_GB2312"/>
          <w:sz w:val="32"/>
          <w:szCs w:val="32"/>
        </w:rPr>
        <w:t>。</w:t>
      </w:r>
    </w:p>
    <w:p w14:paraId="3FC088E8">
      <w:pPr>
        <w:ind w:firstLine="640" w:firstLineChars="200"/>
        <w:rPr>
          <w:rFonts w:ascii="仿宋_GB2312" w:eastAsia="仿宋_GB2312"/>
          <w:sz w:val="32"/>
          <w:szCs w:val="32"/>
        </w:rPr>
      </w:pPr>
      <w:r>
        <w:rPr>
          <w:rFonts w:hint="eastAsia" w:ascii="仿宋_GB2312" w:eastAsia="仿宋_GB2312"/>
          <w:sz w:val="32"/>
          <w:szCs w:val="32"/>
        </w:rPr>
        <w:t>4.</w:t>
      </w:r>
      <w:r>
        <w:rPr>
          <w:rFonts w:hint="eastAsia" w:ascii="仿宋_GB2312" w:hAnsi="仿宋_GB2312" w:eastAsia="仿宋_GB2312" w:cs="仿宋_GB2312"/>
          <w:sz w:val="32"/>
          <w:szCs w:val="32"/>
        </w:rPr>
        <w:t>南洋中京公司对外协单位管理不到位。南洋中京公司安全管理规章制度运行不畅，未与</w:t>
      </w:r>
      <w:r>
        <w:rPr>
          <w:rFonts w:hint="eastAsia" w:ascii="仿宋_GB2312" w:eastAsia="仿宋_GB2312"/>
          <w:sz w:val="32"/>
          <w:szCs w:val="32"/>
        </w:rPr>
        <w:t>科莱瑞公司及时签订安全管理协议，未明确双方安全管理职责</w:t>
      </w:r>
      <w:r>
        <w:rPr>
          <w:rFonts w:hint="eastAsia" w:ascii="仿宋_GB2312" w:hAnsi="仿宋_GB2312" w:eastAsia="仿宋_GB2312" w:cs="仿宋_GB2312"/>
          <w:sz w:val="32"/>
          <w:szCs w:val="32"/>
        </w:rPr>
        <w:t>。</w:t>
      </w:r>
    </w:p>
    <w:p w14:paraId="361F306A">
      <w:pPr>
        <w:spacing w:line="570" w:lineRule="exact"/>
        <w:ind w:firstLine="640"/>
        <w:outlineLvl w:val="0"/>
        <w:rPr>
          <w:rFonts w:hint="eastAsia" w:ascii="黑体" w:hAnsi="黑体" w:eastAsia="黑体" w:cs="黑体"/>
          <w:bCs/>
          <w:sz w:val="32"/>
          <w:szCs w:val="32"/>
        </w:rPr>
      </w:pPr>
      <w:bookmarkStart w:id="42" w:name="_Toc207198119"/>
      <w:r>
        <w:rPr>
          <w:rFonts w:hint="eastAsia" w:ascii="黑体" w:hAnsi="黑体" w:eastAsia="黑体" w:cs="黑体"/>
          <w:bCs/>
          <w:sz w:val="32"/>
          <w:szCs w:val="32"/>
        </w:rPr>
        <w:t>四</w:t>
      </w:r>
      <w:r>
        <w:rPr>
          <w:rFonts w:ascii="黑体" w:hAnsi="黑体" w:eastAsia="黑体" w:cs="黑体"/>
          <w:bCs/>
          <w:sz w:val="32"/>
          <w:szCs w:val="32"/>
        </w:rPr>
        <w:t>、对事故有关责任人员</w:t>
      </w:r>
      <w:r>
        <w:rPr>
          <w:rFonts w:hint="eastAsia" w:ascii="黑体" w:hAnsi="黑体" w:eastAsia="黑体" w:cs="黑体"/>
          <w:bCs/>
          <w:sz w:val="32"/>
          <w:szCs w:val="32"/>
        </w:rPr>
        <w:t>和</w:t>
      </w:r>
      <w:r>
        <w:rPr>
          <w:rFonts w:ascii="黑体" w:hAnsi="黑体" w:eastAsia="黑体" w:cs="黑体"/>
          <w:bCs/>
          <w:sz w:val="32"/>
          <w:szCs w:val="32"/>
        </w:rPr>
        <w:t>责任单位的处理建议</w:t>
      </w:r>
      <w:bookmarkEnd w:id="41"/>
      <w:bookmarkEnd w:id="42"/>
    </w:p>
    <w:p w14:paraId="3925F765">
      <w:pPr>
        <w:spacing w:line="570" w:lineRule="exact"/>
        <w:ind w:firstLine="640" w:firstLineChars="200"/>
        <w:outlineLvl w:val="1"/>
        <w:rPr>
          <w:rFonts w:hint="eastAsia" w:ascii="楷体" w:hAnsi="楷体" w:eastAsia="楷体" w:cs="楷体"/>
          <w:bCs/>
          <w:sz w:val="32"/>
          <w:szCs w:val="32"/>
        </w:rPr>
      </w:pPr>
      <w:bookmarkStart w:id="43" w:name="_Toc156910617"/>
      <w:bookmarkStart w:id="44" w:name="_Toc207198120"/>
      <w:r>
        <w:rPr>
          <w:rFonts w:ascii="楷体" w:hAnsi="楷体" w:eastAsia="楷体" w:cs="楷体"/>
          <w:bCs/>
          <w:sz w:val="32"/>
          <w:szCs w:val="32"/>
        </w:rPr>
        <w:t>（一）对事故有关责任人员处理建议</w:t>
      </w:r>
      <w:bookmarkEnd w:id="43"/>
      <w:bookmarkEnd w:id="44"/>
    </w:p>
    <w:p w14:paraId="4F8E1F7C">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1.董汉荣，科莱瑞公司维修工，</w:t>
      </w:r>
      <w:bookmarkStart w:id="45" w:name="OLE_LINK6"/>
      <w:r>
        <w:rPr>
          <w:rFonts w:hint="eastAsia" w:eastAsia="仿宋_GB2312"/>
          <w:color w:val="000000" w:themeColor="text1"/>
          <w:sz w:val="32"/>
          <w:szCs w:val="32"/>
          <w14:textFill>
            <w14:solidFill>
              <w14:schemeClr w14:val="tx1"/>
            </w14:solidFill>
          </w14:textFill>
        </w:rPr>
        <w:t>未取得低压电工证和焊接与热切割作业证进行临时用电、焊接、热切割作业</w:t>
      </w:r>
      <w:bookmarkEnd w:id="45"/>
      <w:r>
        <w:rPr>
          <w:rFonts w:hint="eastAsia" w:ascii="仿宋_GB2312" w:hAnsi="仿宋_GB2312" w:eastAsia="仿宋_GB2312" w:cs="仿宋_GB2312"/>
          <w:sz w:val="32"/>
          <w:szCs w:val="32"/>
        </w:rPr>
        <w:t>，</w:t>
      </w:r>
      <w:r>
        <w:rPr>
          <w:rFonts w:hint="eastAsia" w:eastAsia="仿宋_GB2312"/>
          <w:sz w:val="32"/>
          <w:szCs w:val="32"/>
        </w:rPr>
        <w:t>未将角磨机电源线放置于安全区域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鉴于</w:t>
      </w:r>
      <w:r>
        <w:rPr>
          <w:rFonts w:hint="eastAsia" w:ascii="仿宋_GB2312" w:hAnsi="仿宋_GB2312" w:eastAsia="仿宋_GB2312" w:cs="仿宋_GB2312"/>
          <w:sz w:val="32"/>
          <w:szCs w:val="32"/>
        </w:rPr>
        <w:t>董汉荣</w:t>
      </w:r>
      <w:r>
        <w:rPr>
          <w:rFonts w:ascii="仿宋_GB2312" w:hAnsi="仿宋_GB2312" w:eastAsia="仿宋_GB2312" w:cs="仿宋_GB2312"/>
          <w:sz w:val="32"/>
          <w:szCs w:val="32"/>
        </w:rPr>
        <w:t>本人已在事故中死亡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建议不再追究相关责任</w:t>
      </w:r>
      <w:r>
        <w:rPr>
          <w:rFonts w:hint="eastAsia" w:ascii="仿宋_GB2312" w:hAnsi="仿宋_GB2312" w:eastAsia="仿宋_GB2312" w:cs="仿宋_GB2312"/>
          <w:sz w:val="32"/>
          <w:szCs w:val="32"/>
        </w:rPr>
        <w:t>。</w:t>
      </w:r>
    </w:p>
    <w:p w14:paraId="64822829">
      <w:pPr>
        <w:pStyle w:val="10"/>
        <w:spacing w:before="0" w:beforeAutospacing="0" w:after="0" w:afterAutospacing="0" w:line="420" w:lineRule="atLeas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戚爱冬，科莱瑞公司主要负责人，使用未取得低压电工证和焊接与热切割作业证的董汉荣进行临时用电、焊接、热切割作业，未及时消除动火、临时用电现场无人监护的事故隐患；未制定危险作业管理制度，建议市公安局进一步调查处理。</w:t>
      </w:r>
    </w:p>
    <w:p w14:paraId="205E456B">
      <w:pPr>
        <w:pStyle w:val="10"/>
        <w:spacing w:before="0" w:beforeAutospacing="0" w:after="0" w:afterAutospacing="0" w:line="420" w:lineRule="atLeas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sz w:val="32"/>
          <w:szCs w:val="32"/>
        </w:rPr>
        <w:t>3.白永利，南洋中京公司抛丸机维保项目负责人，未严格执行公司《相关方管理制度》，未及时将与科莱瑞公司的合作情况向公司汇报，导致外来单位安全管理脱节，建议南洋中京公司依据公司内部相关规章制度进行处理，</w:t>
      </w:r>
      <w:r>
        <w:rPr>
          <w:rFonts w:hint="eastAsia" w:ascii="仿宋_GB2312" w:hAnsi="仿宋_GB2312" w:eastAsia="仿宋_GB2312" w:cs="仿宋_GB2312"/>
          <w:kern w:val="2"/>
          <w:sz w:val="32"/>
          <w:szCs w:val="32"/>
        </w:rPr>
        <w:t>建议溧阳市应急管理局进一步调查处理</w:t>
      </w:r>
      <w:r>
        <w:rPr>
          <w:rFonts w:hint="eastAsia" w:ascii="仿宋_GB2312" w:hAnsi="仿宋_GB2312" w:eastAsia="仿宋_GB2312" w:cs="仿宋_GB2312"/>
          <w:sz w:val="32"/>
          <w:szCs w:val="32"/>
        </w:rPr>
        <w:t>。</w:t>
      </w:r>
    </w:p>
    <w:p w14:paraId="0D8CB035">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4.沈江，南洋中京公司副总，督促白永利落实安全管理规章制度不力，统筹公司生产、设备、安全不力，建议南洋中京公司依据公司内部相关规章制度进行处理。</w:t>
      </w:r>
    </w:p>
    <w:p w14:paraId="2972933D">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eastAsia="仿宋_GB2312"/>
          <w:color w:val="000000" w:themeColor="text1"/>
          <w:sz w:val="32"/>
          <w:szCs w:val="32"/>
          <w14:textFill>
            <w14:solidFill>
              <w14:schemeClr w14:val="tx1"/>
            </w14:solidFill>
          </w14:textFill>
        </w:rPr>
        <w:t>汪磊，</w:t>
      </w:r>
      <w:r>
        <w:rPr>
          <w:rFonts w:hint="eastAsia" w:ascii="仿宋_GB2312" w:hAnsi="仿宋_GB2312" w:eastAsia="仿宋_GB2312" w:cs="仿宋_GB2312"/>
          <w:sz w:val="32"/>
          <w:szCs w:val="32"/>
        </w:rPr>
        <w:t>南洋中京公司总经理，落实安全管理规章制度不力，对公司员工制度执行失察失管，建议南洋中京公司依据公司内部相关规章制度进行处理。</w:t>
      </w:r>
    </w:p>
    <w:p w14:paraId="2172D60A">
      <w:pPr>
        <w:spacing w:line="570" w:lineRule="exact"/>
        <w:ind w:firstLine="640" w:firstLineChars="200"/>
        <w:outlineLvl w:val="1"/>
        <w:rPr>
          <w:rFonts w:eastAsia="仿宋"/>
          <w:bCs/>
          <w:sz w:val="32"/>
          <w:szCs w:val="32"/>
        </w:rPr>
      </w:pPr>
      <w:bookmarkStart w:id="46" w:name="_Toc156910618"/>
      <w:bookmarkStart w:id="47" w:name="_Toc207198121"/>
      <w:r>
        <w:rPr>
          <w:rFonts w:ascii="楷体" w:hAnsi="楷体" w:eastAsia="楷体" w:cs="楷体"/>
          <w:bCs/>
          <w:sz w:val="32"/>
          <w:szCs w:val="32"/>
        </w:rPr>
        <w:t>（二）</w:t>
      </w:r>
      <w:bookmarkEnd w:id="46"/>
      <w:r>
        <w:rPr>
          <w:rFonts w:hint="eastAsia" w:ascii="楷体" w:hAnsi="楷体" w:eastAsia="楷体" w:cs="楷体"/>
          <w:bCs/>
          <w:sz w:val="32"/>
          <w:szCs w:val="32"/>
        </w:rPr>
        <w:t>对事故单位处理意见</w:t>
      </w:r>
      <w:bookmarkEnd w:id="47"/>
    </w:p>
    <w:p w14:paraId="36AF0DC8">
      <w:pPr>
        <w:ind w:firstLine="640" w:firstLineChars="200"/>
        <w:rPr>
          <w:rFonts w:ascii="仿宋_GB2312" w:eastAsia="仿宋_GB2312"/>
          <w:sz w:val="32"/>
          <w:szCs w:val="32"/>
          <w:highlight w:val="yellow"/>
        </w:rPr>
      </w:pPr>
      <w:r>
        <w:rPr>
          <w:rFonts w:hint="eastAsia" w:ascii="仿宋_GB2312" w:eastAsia="仿宋_GB2312"/>
          <w:sz w:val="32"/>
          <w:szCs w:val="32"/>
        </w:rPr>
        <w:t>1.</w:t>
      </w:r>
      <w:bookmarkStart w:id="48" w:name="OLE_LINK1"/>
      <w:r>
        <w:rPr>
          <w:rFonts w:hint="eastAsia" w:ascii="仿宋_GB2312" w:eastAsia="仿宋_GB2312"/>
          <w:sz w:val="32"/>
          <w:szCs w:val="32"/>
        </w:rPr>
        <w:t>科莱瑞公司</w:t>
      </w:r>
      <w:bookmarkEnd w:id="48"/>
      <w:r>
        <w:rPr>
          <w:rFonts w:hint="eastAsia" w:ascii="仿宋_GB2312" w:eastAsia="仿宋_GB2312"/>
          <w:sz w:val="32"/>
          <w:szCs w:val="32"/>
        </w:rPr>
        <w:t>，临时用电危险作业未确认现场作业条件符合安全作业要求；临时用电前未向作业人员董汉荣告知作业安全要求；动火、临时用电未安排专门人员进行现场安全管理；未</w:t>
      </w:r>
      <w:r>
        <w:rPr>
          <w:rFonts w:hint="eastAsia" w:ascii="仿宋_GB2312" w:eastAsia="仿宋_GB2312" w:cs="方正小标宋_GBK"/>
          <w:sz w:val="32"/>
          <w:szCs w:val="32"/>
        </w:rPr>
        <w:t>建立危险作业管理制度</w:t>
      </w:r>
      <w:r>
        <w:rPr>
          <w:rFonts w:hint="eastAsia" w:ascii="仿宋_GB2312" w:eastAsia="仿宋_GB2312"/>
          <w:sz w:val="32"/>
          <w:szCs w:val="32"/>
        </w:rPr>
        <w:t>，对事故发生负有责任。建议市应急管理局依据相关法律法规进行处理。</w:t>
      </w:r>
    </w:p>
    <w:p w14:paraId="70FC300F">
      <w:pPr>
        <w:ind w:firstLine="640" w:firstLineChars="200"/>
        <w:rPr>
          <w:rFonts w:ascii="仿宋_GB2312" w:eastAsia="仿宋_GB2312"/>
          <w:sz w:val="32"/>
          <w:szCs w:val="32"/>
        </w:rPr>
      </w:pPr>
      <w:r>
        <w:rPr>
          <w:rFonts w:hint="eastAsia" w:ascii="仿宋_GB2312" w:eastAsia="仿宋_GB2312"/>
          <w:sz w:val="32"/>
          <w:szCs w:val="32"/>
        </w:rPr>
        <w:t>2.南洋中京公司，与科莱瑞公司承包合同中未明确各自的安全生产管理职责且未与科莱瑞公司签订专门的安全生产管理协议；额定电流20A供一般人员使用的电源插座回路未装设剩余电流动作保护器。建议市应急管理局依据相关法律法规进行处理。</w:t>
      </w:r>
    </w:p>
    <w:p w14:paraId="58299FDD">
      <w:pPr>
        <w:spacing w:line="570" w:lineRule="exact"/>
        <w:ind w:firstLine="640" w:firstLineChars="200"/>
        <w:outlineLvl w:val="0"/>
        <w:rPr>
          <w:rFonts w:hint="eastAsia" w:ascii="黑体" w:hAnsi="黑体" w:eastAsia="黑体" w:cs="黑体"/>
          <w:bCs/>
          <w:sz w:val="32"/>
          <w:szCs w:val="32"/>
        </w:rPr>
      </w:pPr>
      <w:bookmarkStart w:id="49" w:name="_Toc207198122"/>
      <w:r>
        <w:rPr>
          <w:rFonts w:hint="eastAsia" w:ascii="黑体" w:hAnsi="黑体" w:eastAsia="黑体" w:cs="黑体"/>
          <w:bCs/>
          <w:sz w:val="32"/>
          <w:szCs w:val="32"/>
        </w:rPr>
        <w:t>五、事故经验教训</w:t>
      </w:r>
      <w:bookmarkEnd w:id="49"/>
    </w:p>
    <w:p w14:paraId="00F2D697">
      <w:pPr>
        <w:spacing w:line="57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）危险作业风险管控“失效”</w:t>
      </w:r>
      <w:r>
        <w:rPr>
          <w:rFonts w:hint="eastAsia" w:ascii="仿宋_GB2312" w:hAnsi="仿宋_GB2312" w:eastAsia="仿宋_GB2312" w:cs="仿宋_GB2312"/>
          <w:sz w:val="32"/>
          <w:szCs w:val="32"/>
        </w:rPr>
        <w:t>。</w:t>
      </w:r>
      <w:r>
        <w:rPr>
          <w:rFonts w:hint="eastAsia" w:ascii="仿宋_GB2312" w:eastAsia="仿宋_GB2312"/>
          <w:sz w:val="32"/>
          <w:szCs w:val="32"/>
        </w:rPr>
        <w:t>科莱瑞公司</w:t>
      </w:r>
      <w:r>
        <w:rPr>
          <w:rFonts w:ascii="仿宋_GB2312" w:hAnsi="仿宋_GB2312" w:eastAsia="仿宋_GB2312" w:cs="仿宋_GB2312"/>
          <w:sz w:val="32"/>
          <w:szCs w:val="32"/>
        </w:rPr>
        <w:t>对临时用电等</w:t>
      </w:r>
      <w:r>
        <w:rPr>
          <w:rFonts w:hint="eastAsia" w:ascii="仿宋_GB2312" w:hAnsi="仿宋_GB2312" w:eastAsia="仿宋_GB2312" w:cs="仿宋_GB2312"/>
          <w:sz w:val="32"/>
          <w:szCs w:val="32"/>
        </w:rPr>
        <w:t>高危作业</w:t>
      </w:r>
      <w:r>
        <w:rPr>
          <w:rFonts w:ascii="仿宋_GB2312" w:hAnsi="仿宋_GB2312" w:eastAsia="仿宋_GB2312" w:cs="仿宋_GB2312"/>
          <w:sz w:val="32"/>
          <w:szCs w:val="32"/>
        </w:rPr>
        <w:t>缺乏</w:t>
      </w:r>
      <w:r>
        <w:rPr>
          <w:rFonts w:hint="eastAsia" w:ascii="仿宋_GB2312" w:hAnsi="仿宋_GB2312" w:eastAsia="仿宋_GB2312" w:cs="仿宋_GB2312"/>
          <w:sz w:val="32"/>
          <w:szCs w:val="32"/>
        </w:rPr>
        <w:t>正确认识，缺少</w:t>
      </w:r>
      <w:r>
        <w:rPr>
          <w:rFonts w:ascii="仿宋_GB2312" w:hAnsi="仿宋_GB2312" w:eastAsia="仿宋_GB2312" w:cs="仿宋_GB2312"/>
          <w:sz w:val="32"/>
          <w:szCs w:val="32"/>
        </w:rPr>
        <w:t>系统性管控，风险辨识</w:t>
      </w:r>
      <w:r>
        <w:rPr>
          <w:rFonts w:hint="eastAsia" w:ascii="仿宋_GB2312" w:hAnsi="仿宋_GB2312" w:eastAsia="仿宋_GB2312" w:cs="仿宋_GB2312"/>
          <w:sz w:val="32"/>
          <w:szCs w:val="32"/>
        </w:rPr>
        <w:t>缺失</w:t>
      </w:r>
      <w:r>
        <w:rPr>
          <w:rFonts w:ascii="仿宋_GB2312" w:hAnsi="仿宋_GB2312" w:eastAsia="仿宋_GB2312" w:cs="仿宋_GB2312"/>
          <w:sz w:val="32"/>
          <w:szCs w:val="32"/>
        </w:rPr>
        <w:t>，现场管理混乱，安全防护措施严重缺失。</w:t>
      </w:r>
    </w:p>
    <w:p w14:paraId="06F83364">
      <w:pPr>
        <w:spacing w:line="57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）作业现场安全管理“混乱”</w:t>
      </w:r>
      <w:r>
        <w:rPr>
          <w:rFonts w:hint="eastAsia" w:ascii="仿宋_GB2312" w:hAnsi="仿宋_GB2312" w:eastAsia="仿宋_GB2312" w:cs="仿宋_GB2312"/>
          <w:sz w:val="32"/>
          <w:szCs w:val="32"/>
        </w:rPr>
        <w:t>。</w:t>
      </w:r>
      <w:r>
        <w:rPr>
          <w:rFonts w:hint="eastAsia" w:ascii="仿宋_GB2312" w:eastAsia="仿宋_GB2312"/>
          <w:sz w:val="32"/>
          <w:szCs w:val="32"/>
        </w:rPr>
        <w:t>科莱瑞公司</w:t>
      </w:r>
      <w:r>
        <w:rPr>
          <w:rFonts w:ascii="仿宋_GB2312" w:hAnsi="仿宋_GB2312" w:eastAsia="仿宋_GB2312" w:cs="仿宋_GB2312"/>
          <w:sz w:val="32"/>
          <w:szCs w:val="32"/>
        </w:rPr>
        <w:t>安全基础薄弱，从业人员安全意识欠缺、技能不足，无证上岗、违规操作问题频发，现场监护形同虚设。</w:t>
      </w:r>
    </w:p>
    <w:p w14:paraId="5C741B5C">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安全生产主体责任“悬空”。相关单位主体责任意识淡薄，南洋中京公司对承包单位过程管理缺失，安全管理制度与现场执行“两张皮”；科莱瑞公司落实安全生产责任不力，安全管理运行缺乏规章制度支持。</w:t>
      </w:r>
    </w:p>
    <w:p w14:paraId="6869D20B">
      <w:pPr>
        <w:spacing w:line="570" w:lineRule="exact"/>
        <w:ind w:firstLine="640" w:firstLineChars="200"/>
        <w:outlineLvl w:val="0"/>
        <w:rPr>
          <w:rFonts w:hint="eastAsia" w:ascii="黑体" w:hAnsi="黑体" w:eastAsia="黑体" w:cs="黑体"/>
          <w:bCs/>
          <w:sz w:val="32"/>
          <w:szCs w:val="32"/>
        </w:rPr>
      </w:pPr>
      <w:bookmarkStart w:id="50" w:name="_Toc207198123"/>
      <w:bookmarkStart w:id="51" w:name="_Toc156910619"/>
      <w:r>
        <w:rPr>
          <w:rFonts w:hint="eastAsia" w:ascii="黑体" w:hAnsi="黑体" w:eastAsia="黑体" w:cs="黑体"/>
          <w:bCs/>
          <w:sz w:val="32"/>
          <w:szCs w:val="32"/>
        </w:rPr>
        <w:t>六</w:t>
      </w:r>
      <w:r>
        <w:rPr>
          <w:rFonts w:ascii="黑体" w:hAnsi="黑体" w:eastAsia="黑体" w:cs="黑体"/>
          <w:bCs/>
          <w:sz w:val="32"/>
          <w:szCs w:val="32"/>
        </w:rPr>
        <w:t>、事故整改和防范措施</w:t>
      </w:r>
      <w:bookmarkEnd w:id="50"/>
      <w:bookmarkEnd w:id="51"/>
    </w:p>
    <w:p w14:paraId="5E898191">
      <w:pPr>
        <w:spacing w:line="570" w:lineRule="exact"/>
        <w:ind w:firstLine="640" w:firstLineChars="200"/>
        <w:rPr>
          <w:rFonts w:hint="eastAsia" w:ascii="仿宋_GB2312" w:hAnsi="仿宋_GB2312" w:eastAsia="仿宋_GB2312" w:cs="仿宋_GB2312"/>
          <w:sz w:val="32"/>
          <w:szCs w:val="32"/>
        </w:rPr>
      </w:pPr>
      <w:bookmarkStart w:id="52" w:name="_Hlk139289920"/>
      <w:r>
        <w:rPr>
          <w:rFonts w:ascii="仿宋_GB2312" w:hAnsi="仿宋_GB2312" w:eastAsia="仿宋_GB2312" w:cs="仿宋_GB2312"/>
          <w:sz w:val="32"/>
          <w:szCs w:val="32"/>
        </w:rPr>
        <w:t>为深刻吸取事故教训，全面筑牢我市安全生产防线，进一步强化安全生产工作，夯实企业安全生产基础，有效防范各类事故发生，事故调查组针对本起事故暴露出的问题，提出如下建议：</w:t>
      </w:r>
    </w:p>
    <w:bookmarkEnd w:id="52"/>
    <w:p w14:paraId="5EFE722F">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科莱瑞公司，作为事故发生单位，应从这起事故中吸取深刻的教训，举一反三，深入学习贯彻《中华人民共和国安全生产法》、《江苏省安全生产条例》等法律法规。加强安全管理，建立健全安全生产规章制度；强化危险作业安全管理规定，</w:t>
      </w:r>
      <w:bookmarkStart w:id="53" w:name="_Hlk207109372"/>
      <w:r>
        <w:rPr>
          <w:rFonts w:hint="eastAsia" w:ascii="仿宋_GB2312" w:hAnsi="仿宋_GB2312" w:eastAsia="仿宋_GB2312" w:cs="仿宋_GB2312"/>
          <w:sz w:val="32"/>
          <w:szCs w:val="32"/>
        </w:rPr>
        <w:t>要对作业安全风险进行评估，确认现场作业条件符合安全作业要求</w:t>
      </w:r>
      <w:bookmarkEnd w:id="53"/>
      <w:r>
        <w:rPr>
          <w:rFonts w:hint="eastAsia" w:ascii="仿宋_GB2312" w:hAnsi="仿宋_GB2312" w:eastAsia="仿宋_GB2312" w:cs="仿宋_GB2312"/>
          <w:sz w:val="32"/>
          <w:szCs w:val="32"/>
        </w:rPr>
        <w:t>；要确认作业人员的上岗资格以及劳动防护用品的配备、使用符合安全作业要求；要</w:t>
      </w:r>
      <w:bookmarkStart w:id="54" w:name="_Hlk207109457"/>
      <w:r>
        <w:rPr>
          <w:rFonts w:hint="eastAsia" w:ascii="仿宋_GB2312" w:hAnsi="仿宋_GB2312" w:eastAsia="仿宋_GB2312" w:cs="仿宋_GB2312"/>
          <w:sz w:val="32"/>
          <w:szCs w:val="32"/>
        </w:rPr>
        <w:t>在危险作业前向作业人员告知危险因素、作业安全要求和现场应急处置措施，并经双方现场签字确认</w:t>
      </w:r>
      <w:bookmarkEnd w:id="54"/>
      <w:r>
        <w:rPr>
          <w:rFonts w:hint="eastAsia" w:ascii="仿宋_GB2312" w:hAnsi="仿宋_GB2312" w:eastAsia="仿宋_GB2312" w:cs="仿宋_GB2312"/>
          <w:sz w:val="32"/>
          <w:szCs w:val="32"/>
        </w:rPr>
        <w:t>。</w:t>
      </w:r>
    </w:p>
    <w:p w14:paraId="0B645321">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eastAsia="仿宋_GB2312"/>
          <w:sz w:val="32"/>
          <w:szCs w:val="32"/>
        </w:rPr>
        <w:t>南洋</w:t>
      </w:r>
      <w:r>
        <w:rPr>
          <w:rFonts w:hint="eastAsia" w:ascii="仿宋_GB2312" w:hAnsi="仿宋_GB2312" w:eastAsia="仿宋_GB2312" w:cs="仿宋_GB2312"/>
          <w:sz w:val="32"/>
          <w:szCs w:val="32"/>
        </w:rPr>
        <w:t>中京公司，作业项目发包单位，应严格监督专业分包单位落实安全生产责任，做到安全管理到位，现场监督到位，人员管控到位；应当与承包单位、承租单位签订专门的安全生产管理协议，或者在承包合同、租赁合同中约定各自的安全生产管理职责；要强化生产作业现场隐患排查治理，</w:t>
      </w:r>
      <w:r>
        <w:rPr>
          <w:rFonts w:ascii="仿宋_GB2312" w:hAnsi="仿宋_GB2312" w:eastAsia="仿宋_GB2312" w:cs="仿宋_GB2312"/>
          <w:sz w:val="32"/>
          <w:szCs w:val="32"/>
        </w:rPr>
        <w:t>采取技术、管理措施，及时发现并消除事故隐患</w:t>
      </w:r>
      <w:r>
        <w:rPr>
          <w:rFonts w:hint="eastAsia" w:ascii="仿宋_GB2312" w:hAnsi="仿宋_GB2312" w:eastAsia="仿宋_GB2312" w:cs="仿宋_GB2312"/>
          <w:sz w:val="32"/>
          <w:szCs w:val="32"/>
        </w:rPr>
        <w:t>。</w:t>
      </w:r>
    </w:p>
    <w:p w14:paraId="4BF4F77E">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属地政府和相关行业主管部门，应当以人为本，坚持人民至上、生命至上，把保护人民生命安全摆在首位，树牢安全发展理念，坚持安全第一、预防为主、综合治理的方针，强化和落实生产经营单位主体责任与政府监管责任，监督生产经营单位根据本行业、领域的特点，落实主体责任，健全风险防范化解机制。</w:t>
      </w:r>
    </w:p>
    <w:p w14:paraId="4AA7EEF6">
      <w:pPr>
        <w:spacing w:line="570" w:lineRule="exact"/>
        <w:ind w:firstLine="640" w:firstLineChars="200"/>
        <w:rPr>
          <w:rFonts w:hint="eastAsia" w:ascii="仿宋_GB2312" w:hAnsi="仿宋_GB2312" w:eastAsia="仿宋_GB2312" w:cs="仿宋_GB2312"/>
          <w:sz w:val="32"/>
          <w:szCs w:val="32"/>
          <w:highlight w:val="yellow"/>
        </w:rPr>
      </w:pPr>
    </w:p>
    <w:sectPr>
      <w:footerReference r:id="rId13" w:type="first"/>
      <w:footerReference r:id="rId12" w:type="default"/>
      <w:pgSz w:w="11906" w:h="16838"/>
      <w:pgMar w:top="1928" w:right="1531" w:bottom="1871" w:left="1531"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37F748-05BC-4AEE-BD1C-41D082D269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27AFCCB-03A9-47BC-9F83-1618C17C3910}"/>
  </w:font>
  <w:font w:name="仿宋_GB2312">
    <w:panose1 w:val="02010609030101010101"/>
    <w:charset w:val="86"/>
    <w:family w:val="modern"/>
    <w:pitch w:val="default"/>
    <w:sig w:usb0="00000001" w:usb1="080E0000" w:usb2="00000000" w:usb3="00000000" w:csb0="00040000" w:csb1="00000000"/>
    <w:embedRegular r:id="rId3" w:fontKey="{15604416-31F2-4ECB-852C-A5672F3E5196}"/>
  </w:font>
  <w:font w:name="Microsoft YaHei UI">
    <w:panose1 w:val="020B0503020204020204"/>
    <w:charset w:val="86"/>
    <w:family w:val="swiss"/>
    <w:pitch w:val="default"/>
    <w:sig w:usb0="80000287" w:usb1="2ACF3C50" w:usb2="00000016" w:usb3="00000000" w:csb0="0004001F" w:csb1="00000000"/>
  </w:font>
  <w:font w:name="Arial Rounded MT Bold">
    <w:panose1 w:val="020F0704030504030204"/>
    <w:charset w:val="00"/>
    <w:family w:val="swiss"/>
    <w:pitch w:val="default"/>
    <w:sig w:usb0="00000003" w:usb1="00000000" w:usb2="00000000" w:usb3="00000000" w:csb0="20000001" w:csb1="00000000"/>
    <w:embedRegular r:id="rId4" w:fontKey="{D05322E4-8BF4-4763-AC6D-4C22F55DAC2C}"/>
  </w:font>
  <w:font w:name="PingFang SC">
    <w:altName w:val="宋体"/>
    <w:panose1 w:val="00000000000000000000"/>
    <w:charset w:val="86"/>
    <w:family w:val="auto"/>
    <w:pitch w:val="default"/>
    <w:sig w:usb0="00000000" w:usb1="00000000" w:usb2="00000017"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embedRegular r:id="rId5" w:fontKey="{23A5F8D5-3849-44FB-BF98-42382EA17050}"/>
  </w:font>
  <w:font w:name="方正小标宋简体">
    <w:panose1 w:val="03000509000000000000"/>
    <w:charset w:val="86"/>
    <w:family w:val="script"/>
    <w:pitch w:val="default"/>
    <w:sig w:usb0="00000001" w:usb1="080E0000" w:usb2="00000000" w:usb3="00000000" w:csb0="00040000" w:csb1="00000000"/>
    <w:embedRegular r:id="rId6" w:fontKey="{43DE384C-ECBF-4A8D-A84A-C8F975C97DD6}"/>
  </w:font>
  <w:font w:name="方正小标宋_GBK">
    <w:panose1 w:val="02000000000000000000"/>
    <w:charset w:val="86"/>
    <w:family w:val="script"/>
    <w:pitch w:val="default"/>
    <w:sig w:usb0="A00002BF" w:usb1="38CF7CFA" w:usb2="00082016" w:usb3="00000000" w:csb0="00040001" w:csb1="00000000"/>
    <w:embedRegular r:id="rId7" w:fontKey="{91B28389-BA13-4525-B20D-59F33C38F8FF}"/>
  </w:font>
  <w:font w:name="楷体">
    <w:panose1 w:val="02010609060101010101"/>
    <w:charset w:val="86"/>
    <w:family w:val="modern"/>
    <w:pitch w:val="default"/>
    <w:sig w:usb0="800002BF" w:usb1="38CF7CFA" w:usb2="00000016" w:usb3="00000000" w:csb0="00040001" w:csb1="00000000"/>
    <w:embedRegular r:id="rId8" w:fontKey="{F60895C3-016E-46BA-A8F8-02CB9BD27E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B932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EDB4A">
    <w:pPr>
      <w:pStyle w:val="5"/>
      <w:framePr w:wrap="around" w:vAnchor="text" w:hAnchor="margin" w:xAlign="center" w:y="1"/>
      <w:rPr>
        <w:rStyle w:val="17"/>
      </w:rPr>
    </w:pPr>
    <w:r>
      <w:fldChar w:fldCharType="begin"/>
    </w:r>
    <w:r>
      <w:rPr>
        <w:rStyle w:val="17"/>
      </w:rPr>
      <w:instrText xml:space="preserve">PAGE  </w:instrText>
    </w:r>
    <w:r>
      <w:fldChar w:fldCharType="end"/>
    </w:r>
  </w:p>
  <w:p w14:paraId="5AE68F94">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CBE62">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C962C">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86F106">
                          <w:pPr>
                            <w:pStyle w:val="5"/>
                          </w:pPr>
                          <w:r>
                            <w:fldChar w:fldCharType="begin"/>
                          </w:r>
                          <w:r>
                            <w:instrText xml:space="preserve"> PAGE  \* MERGEFORMAT </w:instrText>
                          </w:r>
                          <w:r>
                            <w:fldChar w:fldCharType="separate"/>
                          </w:r>
                          <w:r>
                            <w:t xml:space="preserve"> </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yd58MIBAACN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snefDCAQAAjQMAAA4AAAAAAAAAAQAgAAAAHgEAAGRycy9lMm9Eb2MueG1sUEsF&#10;BgAAAAAGAAYAWQEAAFIFAAAAAA==&#10;">
              <v:fill on="f" focussize="0,0"/>
              <v:stroke on="f"/>
              <v:imagedata o:title=""/>
              <o:lock v:ext="edit" aspectratio="f"/>
              <v:textbox inset="0mm,0mm,0mm,0mm" style="mso-fit-shape-to-text:t;">
                <w:txbxContent>
                  <w:p w14:paraId="7A86F106">
                    <w:pPr>
                      <w:pStyle w:val="5"/>
                    </w:pPr>
                    <w:r>
                      <w:fldChar w:fldCharType="begin"/>
                    </w:r>
                    <w:r>
                      <w:instrText xml:space="preserve"> PAGE  \* MERGEFORMAT </w:instrText>
                    </w:r>
                    <w:r>
                      <w:fldChar w:fldCharType="separate"/>
                    </w:r>
                    <w:r>
                      <w:t xml:space="preserve">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D7210">
    <w:pPr>
      <w:pStyle w:val="5"/>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DD8274">
                          <w:pPr>
                            <w:pStyle w:val="5"/>
                          </w:pPr>
                          <w:r>
                            <w:fldChar w:fldCharType="begin"/>
                          </w:r>
                          <w:r>
                            <w:instrText xml:space="preserve"> PAGE  \* MERGEFORMAT </w:instrText>
                          </w:r>
                          <w:r>
                            <w:fldChar w:fldCharType="separate"/>
                          </w:r>
                          <w:r>
                            <w:t>- 0 -</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mAt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3Hsjlsc+Pnp8fzj1/nnd3Kb&#10;5ekD1Jj1EDAvDe/8gEsz+wGdmfWgos1f5EMwjuKeLuLKIRGRH62Wq1WFIYGx+YL47Pl5iJDeS29J&#10;NhoacXpFVH78CGlMnVNyNefvtTFlgsb95UDM7GG597HHbKVhN0yEdr49IZ8eB99Qh3tOifngUNe8&#10;I7MRZ2M3GbkGhLeHhIVLPxl1hJqK4ZQKo2mj8hr8eS9Zz3/R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srmAtsEBAACNAwAADgAAAAAAAAABACAAAAAeAQAAZHJzL2Uyb0RvYy54bWxQSwUG&#10;AAAAAAYABgBZAQAAUQUAAAAA&#10;">
              <v:fill on="f" focussize="0,0"/>
              <v:stroke on="f"/>
              <v:imagedata o:title=""/>
              <o:lock v:ext="edit" aspectratio="f"/>
              <v:textbox inset="0mm,0mm,0mm,0mm" style="mso-fit-shape-to-text:t;">
                <w:txbxContent>
                  <w:p w14:paraId="17DD8274">
                    <w:pPr>
                      <w:pStyle w:val="5"/>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EF913">
    <w:pPr>
      <w:pStyle w:val="5"/>
      <w:spacing w:before="240" w:after="120"/>
      <w:ind w:firstLine="360"/>
      <w:jc w:val="right"/>
    </w:pPr>
    <w:r>
      <mc:AlternateContent>
        <mc:Choice Requires="wps">
          <w:drawing>
            <wp:anchor distT="0" distB="0" distL="114300" distR="114300" simplePos="0" relativeHeight="251661312" behindDoc="0" locked="0" layoutInCell="1" allowOverlap="1">
              <wp:simplePos x="0" y="0"/>
              <wp:positionH relativeFrom="margin">
                <wp:posOffset>2414270</wp:posOffset>
              </wp:positionH>
              <wp:positionV relativeFrom="paragraph">
                <wp:posOffset>-22860</wp:posOffset>
              </wp:positionV>
              <wp:extent cx="445135" cy="230505"/>
              <wp:effectExtent l="0" t="0" r="0" b="0"/>
              <wp:wrapNone/>
              <wp:docPr id="5"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14:paraId="24B7A444">
                          <w:pPr>
                            <w:pStyle w:val="5"/>
                            <w:jc w:val="center"/>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left:190.1pt;margin-top:-1.8pt;height:18.15pt;width:35.05pt;mso-position-horizontal-relative:margin;mso-wrap-style:none;z-index:251661312;mso-width-relative:page;mso-height-relative:page;" filled="f" stroked="f" coordsize="21600,21600" o:gfxdata="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or7W3WAAAACQEAAA8AAAAAAAAAAQAgAAAAIgAAAGRycy9kb3ducmV2&#10;LnhtbFBLAQIUABQAAAAIAIdO4kDLx98AxQEAAIsDAAAOAAAAAAAAAAEAIAAAACUBAABkcnMvZTJv&#10;RG9jLnhtbFBLBQYAAAAABgAGAFkBAABcBQAAAAA=&#10;">
              <v:fill on="f" focussize="0,0"/>
              <v:stroke on="f"/>
              <v:imagedata o:title=""/>
              <o:lock v:ext="edit" aspectratio="f"/>
              <v:textbox inset="0mm,0mm,0mm,0mm" style="mso-fit-shape-to-text:t;">
                <w:txbxContent>
                  <w:p w14:paraId="24B7A444">
                    <w:pPr>
                      <w:pStyle w:val="5"/>
                      <w:jc w:val="center"/>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5DBCB">
    <w:pPr>
      <w:pStyle w:val="5"/>
      <w:spacing w:before="240" w:after="120"/>
      <w:ind w:firstLine="360"/>
      <w:jc w:val="center"/>
    </w:pPr>
    <w:r>
      <mc:AlternateContent>
        <mc:Choice Requires="wps">
          <w:drawing>
            <wp:anchor distT="0" distB="0" distL="114300" distR="114300" simplePos="0" relativeHeight="251662336" behindDoc="0" locked="0" layoutInCell="1" allowOverlap="1">
              <wp:simplePos x="0" y="0"/>
              <wp:positionH relativeFrom="margin">
                <wp:posOffset>2471420</wp:posOffset>
              </wp:positionH>
              <wp:positionV relativeFrom="paragraph">
                <wp:posOffset>-23495</wp:posOffset>
              </wp:positionV>
              <wp:extent cx="445135" cy="230505"/>
              <wp:effectExtent l="0" t="0" r="0" b="0"/>
              <wp:wrapNone/>
              <wp:docPr id="6" name="文本框 4"/>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wps:spPr>
                    <wps:txbx>
                      <w:txbxContent>
                        <w:p w14:paraId="199306F1">
                          <w:pPr>
                            <w:pStyle w:val="5"/>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left:194.6pt;margin-top:-1.85pt;height:18.15pt;width:35.05pt;mso-position-horizontal-relative:margin;mso-wrap-style:none;z-index:251662336;mso-width-relative:page;mso-height-relative:page;" filled="f" stroked="f" coordsize="21600,21600" o:gfxdata="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kTFZzXAAAACQEAAA8AAAAAAAAAAQAgAAAAIgAAAGRycy9kb3du&#10;cmV2LnhtbFBLAQIUABQAAAAIAIdO4kA1NM8oxwEAAIsDAAAOAAAAAAAAAAEAIAAAACYBAABkcnMv&#10;ZTJvRG9jLnhtbFBLBQYAAAAABgAGAFkBAABfBQAAAAA=&#10;">
              <v:fill on="f" focussize="0,0"/>
              <v:stroke on="f"/>
              <v:imagedata o:title=""/>
              <o:lock v:ext="edit" aspectratio="f"/>
              <v:textbox inset="0mm,0mm,0mm,0mm" style="mso-fit-shape-to-text:t;">
                <w:txbxContent>
                  <w:p w14:paraId="199306F1">
                    <w:pPr>
                      <w:pStyle w:val="5"/>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14:paraId="2815EA94">
      <w:pPr>
        <w:pStyle w:val="8"/>
        <w:rPr>
          <w:rFonts w:hint="eastAsia" w:ascii="仿宋_GB2312" w:hAnsi="仿宋_GB2312" w:eastAsia="仿宋_GB2312" w:cs="仿宋_GB2312"/>
        </w:rPr>
      </w:pPr>
      <w:r>
        <w:rPr>
          <w:rStyle w:val="20"/>
          <w:rFonts w:hint="eastAsia" w:ascii="仿宋_GB2312" w:hAnsi="仿宋_GB2312" w:eastAsia="仿宋_GB2312" w:cs="仿宋_GB2312"/>
        </w:rPr>
        <w:footnoteRef/>
      </w:r>
      <w:r>
        <w:rPr>
          <w:rFonts w:hint="eastAsia" w:ascii="仿宋_GB2312" w:hAnsi="仿宋_GB2312" w:eastAsia="仿宋_GB2312" w:cs="仿宋_GB2312"/>
        </w:rPr>
        <w:t xml:space="preserve"> 南洋中京公司原设备部部长，因其任职设备部部长期间科莱瑞公司之前沟通比较多，比较熟悉，所以本次维修也是由白永利对接科莱瑞公司。</w:t>
      </w:r>
    </w:p>
  </w:footnote>
  <w:footnote w:id="1">
    <w:p w14:paraId="7D421D2B">
      <w:pPr>
        <w:pStyle w:val="8"/>
        <w:rPr>
          <w:rFonts w:ascii="仿宋_GB2312" w:hAnsi="Arial Rounded MT Bold" w:eastAsia="仿宋_GB2312"/>
          <w:szCs w:val="21"/>
        </w:rPr>
      </w:pPr>
      <w:r>
        <w:rPr>
          <w:rFonts w:hint="eastAsia" w:ascii="仿宋_GB2312" w:hAnsi="Arial Rounded MT Bold" w:eastAsia="仿宋_GB2312"/>
          <w:szCs w:val="21"/>
        </w:rPr>
        <w:footnoteRef/>
      </w:r>
      <w:r>
        <w:rPr>
          <w:rFonts w:hint="eastAsia" w:ascii="仿宋_GB2312" w:hAnsi="Arial Rounded MT Bold" w:eastAsia="仿宋_GB2312"/>
          <w:szCs w:val="21"/>
        </w:rPr>
        <w:t xml:space="preserve"> 空气开关，又名空气断路器，是断路器的一种。是一种只要电路中电流超过额定电流就会自动断开的开关。空气开关是低压配电网络和电力拖动系统中非常重要的一种电器，它集控制和多种保护功能于一身。除能完成接触和分断电路外，尚能对电路或电气设备发生的短路、严重过载及欠电压等进行保护，同时也可以用于不频繁地启动电动机。</w:t>
      </w:r>
    </w:p>
  </w:footnote>
  <w:footnote w:id="2">
    <w:p w14:paraId="295D94B0">
      <w:pPr>
        <w:pStyle w:val="8"/>
        <w:rPr>
          <w:rFonts w:ascii="仿宋_GB2312" w:hAnsi="Arial Rounded MT Bold" w:eastAsia="仿宋_GB2312"/>
          <w:szCs w:val="21"/>
        </w:rPr>
      </w:pPr>
      <w:r>
        <w:rPr>
          <w:rFonts w:hint="eastAsia" w:ascii="仿宋_GB2312" w:hAnsi="Arial Rounded MT Bold" w:eastAsia="仿宋_GB2312"/>
          <w:szCs w:val="21"/>
        </w:rPr>
        <w:footnoteRef/>
      </w:r>
      <w:r>
        <w:rPr>
          <w:rFonts w:hint="eastAsia" w:ascii="仿宋_GB2312" w:hAnsi="Arial Rounded MT Bold" w:eastAsia="仿宋_GB2312"/>
          <w:szCs w:val="21"/>
        </w:rPr>
        <w:t xml:space="preserve"> 《人民调解协议书》  对死者家属的赔偿协议书，由科莱瑞公司和死者家属共同协商签订。</w:t>
      </w:r>
    </w:p>
  </w:footnote>
  <w:footnote w:id="3">
    <w:p w14:paraId="36B43D88">
      <w:pPr>
        <w:rPr>
          <w:rFonts w:ascii="仿宋_GB2312" w:hAnsi="Arial Rounded MT Bold" w:eastAsia="仿宋_GB2312"/>
          <w:sz w:val="18"/>
          <w:szCs w:val="21"/>
        </w:rPr>
      </w:pPr>
      <w:r>
        <w:rPr>
          <w:rFonts w:ascii="仿宋_GB2312" w:hAnsi="Arial Rounded MT Bold" w:eastAsia="仿宋_GB2312"/>
          <w:sz w:val="18"/>
          <w:szCs w:val="21"/>
        </w:rPr>
        <w:footnoteRef/>
      </w:r>
      <w:r>
        <w:rPr>
          <w:rFonts w:ascii="仿宋_GB2312" w:hAnsi="Arial Rounded MT Bold" w:eastAsia="仿宋_GB2312"/>
          <w:sz w:val="18"/>
          <w:szCs w:val="21"/>
        </w:rPr>
        <w:t xml:space="preserve"> </w:t>
      </w:r>
      <w:r>
        <w:rPr>
          <w:rFonts w:hint="eastAsia" w:ascii="仿宋_GB2312" w:hAnsi="Arial Rounded MT Bold" w:eastAsia="仿宋_GB2312"/>
          <w:sz w:val="18"/>
          <w:szCs w:val="21"/>
        </w:rPr>
        <w:t>《建筑电气与智能化通用规范》GB55024-2022  第4.6.5条第2项  额定电流不超过 32A的下列回路应装设剩余电流动作保护电器: 2)室内移动电气设备</w:t>
      </w:r>
    </w:p>
    <w:p w14:paraId="72E52904">
      <w:pPr>
        <w:pStyle w:val="8"/>
      </w:pPr>
    </w:p>
  </w:footnote>
  <w:footnote w:id="4">
    <w:p w14:paraId="497FF908">
      <w:pPr>
        <w:pStyle w:val="8"/>
        <w:rPr>
          <w:rFonts w:eastAsia="仿宋_GB2312"/>
        </w:rPr>
      </w:pPr>
      <w:r>
        <w:rPr>
          <w:rStyle w:val="20"/>
        </w:rPr>
        <w:footnoteRef/>
      </w:r>
      <w:r>
        <w:t xml:space="preserve"> </w:t>
      </w:r>
      <w:r>
        <w:rPr>
          <w:rFonts w:hint="eastAsia" w:ascii="仿宋_GB2312" w:eastAsia="仿宋_GB2312"/>
          <w:szCs w:val="21"/>
        </w:rPr>
        <w:t>《江苏省安全生产条例》第二十九条第（一）项：对作业安全风险进行评估，确认现场作业条件符合安全作业要求。</w:t>
      </w:r>
    </w:p>
  </w:footnote>
  <w:footnote w:id="5">
    <w:p w14:paraId="28839B43">
      <w:pPr>
        <w:widowControl/>
        <w:jc w:val="left"/>
        <w:rPr>
          <w:rFonts w:ascii="仿宋_GB2312" w:hAnsi="Arial Rounded MT Bold" w:eastAsia="仿宋_GB2312"/>
          <w:sz w:val="18"/>
          <w:szCs w:val="21"/>
        </w:rPr>
      </w:pPr>
      <w:r>
        <w:rPr>
          <w:rFonts w:hint="eastAsia" w:ascii="仿宋_GB2312" w:hAnsi="Arial Rounded MT Bold" w:eastAsia="仿宋_GB2312"/>
          <w:sz w:val="18"/>
          <w:szCs w:val="21"/>
        </w:rPr>
        <w:footnoteRef/>
      </w:r>
      <w:r>
        <w:rPr>
          <w:rFonts w:hint="eastAsia" w:ascii="仿宋_GB2312" w:hAnsi="Arial Rounded MT Bold" w:eastAsia="仿宋_GB2312"/>
          <w:sz w:val="18"/>
          <w:szCs w:val="21"/>
        </w:rPr>
        <w:t xml:space="preserve"> 《江苏省安全生产条例》第二十九条  生产经营单位进行爆破、吊装、高处作业、有限（受限）空间作业、临近油气输送管道作业、临近高压输电线路作业、建筑物和构筑物拆除、大型检修以及涉及危险物品的场所动火和临时用电等危险作业，应当执行有关危险作业管理制度，并遵守下列规定：</w:t>
      </w:r>
    </w:p>
    <w:p w14:paraId="26F42F65">
      <w:pPr>
        <w:widowControl/>
        <w:jc w:val="left"/>
        <w:rPr>
          <w:rFonts w:ascii="仿宋_GB2312" w:hAnsi="Arial Rounded MT Bold" w:eastAsia="仿宋_GB2312"/>
          <w:sz w:val="18"/>
          <w:szCs w:val="21"/>
        </w:rPr>
      </w:pPr>
      <w:r>
        <w:rPr>
          <w:rFonts w:hint="eastAsia" w:ascii="仿宋_GB2312" w:hAnsi="Arial Rounded MT Bold" w:eastAsia="仿宋_GB2312"/>
          <w:sz w:val="18"/>
          <w:szCs w:val="21"/>
        </w:rPr>
        <w:t>（五）在危险作业前向作业人员告知危险因素、作业安全要求和现场应急处置措施，并经双方现场签字确认；</w:t>
      </w:r>
    </w:p>
  </w:footnote>
  <w:footnote w:id="6">
    <w:p w14:paraId="08E76842">
      <w:pPr>
        <w:pStyle w:val="8"/>
        <w:rPr>
          <w:rFonts w:ascii="仿宋_GB2312" w:hAnsi="Arial Rounded MT Bold" w:eastAsia="仿宋_GB2312"/>
          <w:szCs w:val="21"/>
        </w:rPr>
      </w:pPr>
      <w:r>
        <w:rPr>
          <w:rFonts w:hint="eastAsia" w:ascii="仿宋_GB2312" w:hAnsi="Arial Rounded MT Bold" w:eastAsia="仿宋_GB2312"/>
          <w:szCs w:val="21"/>
        </w:rPr>
        <w:footnoteRef/>
      </w:r>
      <w:r>
        <w:rPr>
          <w:rFonts w:hint="eastAsia" w:ascii="仿宋_GB2312" w:hAnsi="Arial Rounded MT Bold" w:eastAsia="仿宋_GB2312"/>
          <w:szCs w:val="21"/>
        </w:rPr>
        <w:t xml:space="preserve"> 《安全生产法》第四十三条 生产经营单位进行爆破、吊装、动火、临时用电以及国务院应急管理部门会同国务院有关部门规定的其他危险作业，应当安排专门人员进行现场安全管理，确保操作规程的遵守和安全措施的落实。</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450E">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7D0DB">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64CD">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jNWIwMDE1YTc1ZTRjM2JjNmNmODM5NzRmMGM5Y2EifQ=="/>
  </w:docVars>
  <w:rsids>
    <w:rsidRoot w:val="00D3723F"/>
    <w:rsid w:val="000015B8"/>
    <w:rsid w:val="00004F0E"/>
    <w:rsid w:val="00010B09"/>
    <w:rsid w:val="0001381D"/>
    <w:rsid w:val="00013EB7"/>
    <w:rsid w:val="00016207"/>
    <w:rsid w:val="00016D69"/>
    <w:rsid w:val="000172D2"/>
    <w:rsid w:val="000211DD"/>
    <w:rsid w:val="0002578F"/>
    <w:rsid w:val="00026405"/>
    <w:rsid w:val="00030672"/>
    <w:rsid w:val="000331D1"/>
    <w:rsid w:val="00033345"/>
    <w:rsid w:val="00033954"/>
    <w:rsid w:val="000456E2"/>
    <w:rsid w:val="00046C37"/>
    <w:rsid w:val="000519E5"/>
    <w:rsid w:val="00052CB9"/>
    <w:rsid w:val="00052FD4"/>
    <w:rsid w:val="00053409"/>
    <w:rsid w:val="00053B54"/>
    <w:rsid w:val="00055422"/>
    <w:rsid w:val="000557CD"/>
    <w:rsid w:val="000558B3"/>
    <w:rsid w:val="0005627C"/>
    <w:rsid w:val="00060583"/>
    <w:rsid w:val="00062D87"/>
    <w:rsid w:val="00063BD5"/>
    <w:rsid w:val="000642EE"/>
    <w:rsid w:val="00065339"/>
    <w:rsid w:val="00065593"/>
    <w:rsid w:val="00066339"/>
    <w:rsid w:val="000666E5"/>
    <w:rsid w:val="000669A2"/>
    <w:rsid w:val="00066B60"/>
    <w:rsid w:val="000673CC"/>
    <w:rsid w:val="00067D5D"/>
    <w:rsid w:val="00067EBA"/>
    <w:rsid w:val="0007002D"/>
    <w:rsid w:val="00070212"/>
    <w:rsid w:val="00070A6E"/>
    <w:rsid w:val="00070D96"/>
    <w:rsid w:val="00070E8D"/>
    <w:rsid w:val="000736B0"/>
    <w:rsid w:val="000736F5"/>
    <w:rsid w:val="000738A6"/>
    <w:rsid w:val="00073FDF"/>
    <w:rsid w:val="00074D5F"/>
    <w:rsid w:val="000759C9"/>
    <w:rsid w:val="00075DED"/>
    <w:rsid w:val="00076304"/>
    <w:rsid w:val="0007754E"/>
    <w:rsid w:val="00077627"/>
    <w:rsid w:val="00080B34"/>
    <w:rsid w:val="00080E52"/>
    <w:rsid w:val="00081CEB"/>
    <w:rsid w:val="00082E09"/>
    <w:rsid w:val="00084ABE"/>
    <w:rsid w:val="000916B9"/>
    <w:rsid w:val="00091C57"/>
    <w:rsid w:val="000921B7"/>
    <w:rsid w:val="00092D3F"/>
    <w:rsid w:val="000938B6"/>
    <w:rsid w:val="000948FE"/>
    <w:rsid w:val="000A1EAD"/>
    <w:rsid w:val="000A5635"/>
    <w:rsid w:val="000A5C30"/>
    <w:rsid w:val="000B041B"/>
    <w:rsid w:val="000B1BD1"/>
    <w:rsid w:val="000B1DF9"/>
    <w:rsid w:val="000B3765"/>
    <w:rsid w:val="000B476E"/>
    <w:rsid w:val="000B577C"/>
    <w:rsid w:val="000B5BA7"/>
    <w:rsid w:val="000B611D"/>
    <w:rsid w:val="000B6BD7"/>
    <w:rsid w:val="000B6FC6"/>
    <w:rsid w:val="000C1240"/>
    <w:rsid w:val="000C4A0D"/>
    <w:rsid w:val="000C4CAC"/>
    <w:rsid w:val="000C5416"/>
    <w:rsid w:val="000C648C"/>
    <w:rsid w:val="000C7C95"/>
    <w:rsid w:val="000D3D0D"/>
    <w:rsid w:val="000D3E22"/>
    <w:rsid w:val="000D4F82"/>
    <w:rsid w:val="000D5872"/>
    <w:rsid w:val="000D5E28"/>
    <w:rsid w:val="000D65EC"/>
    <w:rsid w:val="000D7DA8"/>
    <w:rsid w:val="000E0362"/>
    <w:rsid w:val="000E1E32"/>
    <w:rsid w:val="000E2ADA"/>
    <w:rsid w:val="000E3233"/>
    <w:rsid w:val="000E35BE"/>
    <w:rsid w:val="000E5E59"/>
    <w:rsid w:val="000E6E9D"/>
    <w:rsid w:val="000F0079"/>
    <w:rsid w:val="000F01C5"/>
    <w:rsid w:val="000F10B1"/>
    <w:rsid w:val="000F579A"/>
    <w:rsid w:val="000F66A3"/>
    <w:rsid w:val="000F695E"/>
    <w:rsid w:val="0010009B"/>
    <w:rsid w:val="00102C0B"/>
    <w:rsid w:val="001049FD"/>
    <w:rsid w:val="00106461"/>
    <w:rsid w:val="0011018E"/>
    <w:rsid w:val="00110CBF"/>
    <w:rsid w:val="00112DF1"/>
    <w:rsid w:val="001142D5"/>
    <w:rsid w:val="00116BDA"/>
    <w:rsid w:val="00120229"/>
    <w:rsid w:val="001263E6"/>
    <w:rsid w:val="00132773"/>
    <w:rsid w:val="00137555"/>
    <w:rsid w:val="001376B2"/>
    <w:rsid w:val="00140DA7"/>
    <w:rsid w:val="00140DCF"/>
    <w:rsid w:val="00141386"/>
    <w:rsid w:val="00141410"/>
    <w:rsid w:val="00143612"/>
    <w:rsid w:val="00143D15"/>
    <w:rsid w:val="001455D0"/>
    <w:rsid w:val="0014744B"/>
    <w:rsid w:val="00152FEB"/>
    <w:rsid w:val="00153C38"/>
    <w:rsid w:val="00154DCB"/>
    <w:rsid w:val="00155468"/>
    <w:rsid w:val="00155E96"/>
    <w:rsid w:val="001569CC"/>
    <w:rsid w:val="00160C98"/>
    <w:rsid w:val="00164428"/>
    <w:rsid w:val="00166D67"/>
    <w:rsid w:val="00167DFB"/>
    <w:rsid w:val="00171E43"/>
    <w:rsid w:val="00172274"/>
    <w:rsid w:val="00174C68"/>
    <w:rsid w:val="00175E98"/>
    <w:rsid w:val="001765FA"/>
    <w:rsid w:val="00177016"/>
    <w:rsid w:val="0018058D"/>
    <w:rsid w:val="0018403F"/>
    <w:rsid w:val="00184594"/>
    <w:rsid w:val="00184CA9"/>
    <w:rsid w:val="00185B6C"/>
    <w:rsid w:val="00186FB3"/>
    <w:rsid w:val="00190ED7"/>
    <w:rsid w:val="0019235F"/>
    <w:rsid w:val="0019301F"/>
    <w:rsid w:val="0019314D"/>
    <w:rsid w:val="001A0E46"/>
    <w:rsid w:val="001A13C3"/>
    <w:rsid w:val="001A18D6"/>
    <w:rsid w:val="001A45B2"/>
    <w:rsid w:val="001A4E93"/>
    <w:rsid w:val="001A584D"/>
    <w:rsid w:val="001A605C"/>
    <w:rsid w:val="001A640E"/>
    <w:rsid w:val="001A7189"/>
    <w:rsid w:val="001A7DFF"/>
    <w:rsid w:val="001B119C"/>
    <w:rsid w:val="001B1995"/>
    <w:rsid w:val="001B1F09"/>
    <w:rsid w:val="001B27B1"/>
    <w:rsid w:val="001B30B4"/>
    <w:rsid w:val="001B3156"/>
    <w:rsid w:val="001B3982"/>
    <w:rsid w:val="001B3DCD"/>
    <w:rsid w:val="001B403D"/>
    <w:rsid w:val="001B422A"/>
    <w:rsid w:val="001B798B"/>
    <w:rsid w:val="001C0EF1"/>
    <w:rsid w:val="001C1E8C"/>
    <w:rsid w:val="001C22BD"/>
    <w:rsid w:val="001C234C"/>
    <w:rsid w:val="001C3041"/>
    <w:rsid w:val="001C3162"/>
    <w:rsid w:val="001C3686"/>
    <w:rsid w:val="001C3EF3"/>
    <w:rsid w:val="001C481F"/>
    <w:rsid w:val="001C4FC6"/>
    <w:rsid w:val="001C4FF2"/>
    <w:rsid w:val="001C6C16"/>
    <w:rsid w:val="001C6D27"/>
    <w:rsid w:val="001C7483"/>
    <w:rsid w:val="001C768E"/>
    <w:rsid w:val="001D084D"/>
    <w:rsid w:val="001D1789"/>
    <w:rsid w:val="001D24B8"/>
    <w:rsid w:val="001D2D05"/>
    <w:rsid w:val="001D3041"/>
    <w:rsid w:val="001D60B6"/>
    <w:rsid w:val="001E0A25"/>
    <w:rsid w:val="001E0DEE"/>
    <w:rsid w:val="001E0F0E"/>
    <w:rsid w:val="001E1F36"/>
    <w:rsid w:val="001E3178"/>
    <w:rsid w:val="001E4735"/>
    <w:rsid w:val="001E54AB"/>
    <w:rsid w:val="001E73FA"/>
    <w:rsid w:val="001E742B"/>
    <w:rsid w:val="001E7C02"/>
    <w:rsid w:val="001F0256"/>
    <w:rsid w:val="001F15B0"/>
    <w:rsid w:val="001F1EC5"/>
    <w:rsid w:val="001F248A"/>
    <w:rsid w:val="001F4666"/>
    <w:rsid w:val="00200B32"/>
    <w:rsid w:val="00200F03"/>
    <w:rsid w:val="002012D2"/>
    <w:rsid w:val="00202A43"/>
    <w:rsid w:val="00202C8E"/>
    <w:rsid w:val="002042DD"/>
    <w:rsid w:val="0020482F"/>
    <w:rsid w:val="002051DD"/>
    <w:rsid w:val="00205993"/>
    <w:rsid w:val="002103D8"/>
    <w:rsid w:val="00210CBE"/>
    <w:rsid w:val="00212573"/>
    <w:rsid w:val="00212779"/>
    <w:rsid w:val="00216840"/>
    <w:rsid w:val="00217AB0"/>
    <w:rsid w:val="002200C0"/>
    <w:rsid w:val="002207B6"/>
    <w:rsid w:val="0022186E"/>
    <w:rsid w:val="00222637"/>
    <w:rsid w:val="00223374"/>
    <w:rsid w:val="00223839"/>
    <w:rsid w:val="00225F54"/>
    <w:rsid w:val="0022608C"/>
    <w:rsid w:val="00226B8A"/>
    <w:rsid w:val="00226F4B"/>
    <w:rsid w:val="00227035"/>
    <w:rsid w:val="0023326F"/>
    <w:rsid w:val="00235003"/>
    <w:rsid w:val="0023531F"/>
    <w:rsid w:val="0023563F"/>
    <w:rsid w:val="002360E5"/>
    <w:rsid w:val="002364A9"/>
    <w:rsid w:val="00236D8D"/>
    <w:rsid w:val="0023745C"/>
    <w:rsid w:val="00237AB3"/>
    <w:rsid w:val="002415BE"/>
    <w:rsid w:val="0024177B"/>
    <w:rsid w:val="00241A18"/>
    <w:rsid w:val="0024486E"/>
    <w:rsid w:val="0025067B"/>
    <w:rsid w:val="002514D1"/>
    <w:rsid w:val="002543EB"/>
    <w:rsid w:val="002546D4"/>
    <w:rsid w:val="00255E90"/>
    <w:rsid w:val="002569C2"/>
    <w:rsid w:val="00261063"/>
    <w:rsid w:val="00263139"/>
    <w:rsid w:val="00264EBA"/>
    <w:rsid w:val="00266DC4"/>
    <w:rsid w:val="00267322"/>
    <w:rsid w:val="0026783D"/>
    <w:rsid w:val="002704A0"/>
    <w:rsid w:val="00270F43"/>
    <w:rsid w:val="002726DE"/>
    <w:rsid w:val="00272D88"/>
    <w:rsid w:val="0027476C"/>
    <w:rsid w:val="00276657"/>
    <w:rsid w:val="00276878"/>
    <w:rsid w:val="002769A6"/>
    <w:rsid w:val="00276C9E"/>
    <w:rsid w:val="00277DE6"/>
    <w:rsid w:val="00280DE0"/>
    <w:rsid w:val="00283DDB"/>
    <w:rsid w:val="002845A6"/>
    <w:rsid w:val="00285017"/>
    <w:rsid w:val="002853FE"/>
    <w:rsid w:val="002871D9"/>
    <w:rsid w:val="0028744A"/>
    <w:rsid w:val="00290015"/>
    <w:rsid w:val="00292A87"/>
    <w:rsid w:val="00292BAB"/>
    <w:rsid w:val="00294072"/>
    <w:rsid w:val="002943E7"/>
    <w:rsid w:val="00294F20"/>
    <w:rsid w:val="00295538"/>
    <w:rsid w:val="0029762C"/>
    <w:rsid w:val="002A1714"/>
    <w:rsid w:val="002A2CFB"/>
    <w:rsid w:val="002A695F"/>
    <w:rsid w:val="002A6BC2"/>
    <w:rsid w:val="002A79A1"/>
    <w:rsid w:val="002B16E2"/>
    <w:rsid w:val="002B1DD4"/>
    <w:rsid w:val="002B1E6B"/>
    <w:rsid w:val="002B332C"/>
    <w:rsid w:val="002B6CEA"/>
    <w:rsid w:val="002C15BE"/>
    <w:rsid w:val="002C1A5C"/>
    <w:rsid w:val="002C1D88"/>
    <w:rsid w:val="002C2469"/>
    <w:rsid w:val="002C2EF3"/>
    <w:rsid w:val="002C303A"/>
    <w:rsid w:val="002C4610"/>
    <w:rsid w:val="002C5A5D"/>
    <w:rsid w:val="002C6454"/>
    <w:rsid w:val="002C73F7"/>
    <w:rsid w:val="002C7BAF"/>
    <w:rsid w:val="002D0F87"/>
    <w:rsid w:val="002D2726"/>
    <w:rsid w:val="002D3D42"/>
    <w:rsid w:val="002D4163"/>
    <w:rsid w:val="002D4B85"/>
    <w:rsid w:val="002D63CE"/>
    <w:rsid w:val="002D697F"/>
    <w:rsid w:val="002D7BED"/>
    <w:rsid w:val="002E059C"/>
    <w:rsid w:val="002E0965"/>
    <w:rsid w:val="002E1151"/>
    <w:rsid w:val="002E13E4"/>
    <w:rsid w:val="002E33EB"/>
    <w:rsid w:val="002E3E29"/>
    <w:rsid w:val="002E46D5"/>
    <w:rsid w:val="002E4974"/>
    <w:rsid w:val="002E50E2"/>
    <w:rsid w:val="002E5601"/>
    <w:rsid w:val="002E593D"/>
    <w:rsid w:val="002E6151"/>
    <w:rsid w:val="002E655F"/>
    <w:rsid w:val="002F358C"/>
    <w:rsid w:val="002F3BBE"/>
    <w:rsid w:val="002F76EB"/>
    <w:rsid w:val="0030424C"/>
    <w:rsid w:val="00306644"/>
    <w:rsid w:val="003072F5"/>
    <w:rsid w:val="00307B7D"/>
    <w:rsid w:val="00311240"/>
    <w:rsid w:val="003130A8"/>
    <w:rsid w:val="00316523"/>
    <w:rsid w:val="00316764"/>
    <w:rsid w:val="003211AF"/>
    <w:rsid w:val="0032224C"/>
    <w:rsid w:val="00323A11"/>
    <w:rsid w:val="00323B74"/>
    <w:rsid w:val="003246CC"/>
    <w:rsid w:val="00325338"/>
    <w:rsid w:val="0032626B"/>
    <w:rsid w:val="00330963"/>
    <w:rsid w:val="00331EF3"/>
    <w:rsid w:val="00337F96"/>
    <w:rsid w:val="003406B2"/>
    <w:rsid w:val="00345C6D"/>
    <w:rsid w:val="00346F41"/>
    <w:rsid w:val="0034791E"/>
    <w:rsid w:val="003528DA"/>
    <w:rsid w:val="0035459B"/>
    <w:rsid w:val="0035492E"/>
    <w:rsid w:val="00355BBB"/>
    <w:rsid w:val="00356780"/>
    <w:rsid w:val="003611BC"/>
    <w:rsid w:val="0036150F"/>
    <w:rsid w:val="003617B6"/>
    <w:rsid w:val="00361AF9"/>
    <w:rsid w:val="00362027"/>
    <w:rsid w:val="00362B76"/>
    <w:rsid w:val="00362BDE"/>
    <w:rsid w:val="00362C17"/>
    <w:rsid w:val="00367571"/>
    <w:rsid w:val="0036790B"/>
    <w:rsid w:val="003711D7"/>
    <w:rsid w:val="003713BD"/>
    <w:rsid w:val="00372159"/>
    <w:rsid w:val="003734F7"/>
    <w:rsid w:val="003741BC"/>
    <w:rsid w:val="0037641A"/>
    <w:rsid w:val="003778EC"/>
    <w:rsid w:val="00380B77"/>
    <w:rsid w:val="00380FF6"/>
    <w:rsid w:val="003810DA"/>
    <w:rsid w:val="003813F0"/>
    <w:rsid w:val="00381AD8"/>
    <w:rsid w:val="00383780"/>
    <w:rsid w:val="00385296"/>
    <w:rsid w:val="003859BF"/>
    <w:rsid w:val="00385FF9"/>
    <w:rsid w:val="00390294"/>
    <w:rsid w:val="003913B8"/>
    <w:rsid w:val="00392425"/>
    <w:rsid w:val="00392A14"/>
    <w:rsid w:val="00393780"/>
    <w:rsid w:val="003969F5"/>
    <w:rsid w:val="00397CA6"/>
    <w:rsid w:val="003A0C9B"/>
    <w:rsid w:val="003A19F1"/>
    <w:rsid w:val="003A1D5E"/>
    <w:rsid w:val="003A29EB"/>
    <w:rsid w:val="003A36FC"/>
    <w:rsid w:val="003A4868"/>
    <w:rsid w:val="003A4FB4"/>
    <w:rsid w:val="003A508F"/>
    <w:rsid w:val="003A61EE"/>
    <w:rsid w:val="003A6D1E"/>
    <w:rsid w:val="003A6F59"/>
    <w:rsid w:val="003A7241"/>
    <w:rsid w:val="003A774F"/>
    <w:rsid w:val="003B04E4"/>
    <w:rsid w:val="003B0F4E"/>
    <w:rsid w:val="003B2CFD"/>
    <w:rsid w:val="003B3AFB"/>
    <w:rsid w:val="003B3CBA"/>
    <w:rsid w:val="003B4441"/>
    <w:rsid w:val="003B676B"/>
    <w:rsid w:val="003B77DF"/>
    <w:rsid w:val="003C038C"/>
    <w:rsid w:val="003C1173"/>
    <w:rsid w:val="003C1923"/>
    <w:rsid w:val="003C31EC"/>
    <w:rsid w:val="003C3296"/>
    <w:rsid w:val="003C3AFC"/>
    <w:rsid w:val="003C52AF"/>
    <w:rsid w:val="003C5EB1"/>
    <w:rsid w:val="003C7BDE"/>
    <w:rsid w:val="003D08AB"/>
    <w:rsid w:val="003D099F"/>
    <w:rsid w:val="003D151C"/>
    <w:rsid w:val="003D26B2"/>
    <w:rsid w:val="003D2D7B"/>
    <w:rsid w:val="003D58D8"/>
    <w:rsid w:val="003D6AF9"/>
    <w:rsid w:val="003E182B"/>
    <w:rsid w:val="003E3555"/>
    <w:rsid w:val="003E35AE"/>
    <w:rsid w:val="003E3B19"/>
    <w:rsid w:val="003E5D83"/>
    <w:rsid w:val="003E7DBF"/>
    <w:rsid w:val="003F0F07"/>
    <w:rsid w:val="003F2448"/>
    <w:rsid w:val="003F25C6"/>
    <w:rsid w:val="003F4743"/>
    <w:rsid w:val="003F47DB"/>
    <w:rsid w:val="003F5708"/>
    <w:rsid w:val="003F67D0"/>
    <w:rsid w:val="003F6E50"/>
    <w:rsid w:val="00401666"/>
    <w:rsid w:val="00401FC0"/>
    <w:rsid w:val="004021A4"/>
    <w:rsid w:val="00402312"/>
    <w:rsid w:val="00405A31"/>
    <w:rsid w:val="00405FFC"/>
    <w:rsid w:val="00410C6F"/>
    <w:rsid w:val="004110F5"/>
    <w:rsid w:val="0041290A"/>
    <w:rsid w:val="00413540"/>
    <w:rsid w:val="00413A87"/>
    <w:rsid w:val="004151B8"/>
    <w:rsid w:val="0041692C"/>
    <w:rsid w:val="00420021"/>
    <w:rsid w:val="00425C7E"/>
    <w:rsid w:val="004276F7"/>
    <w:rsid w:val="00430EBC"/>
    <w:rsid w:val="0043117D"/>
    <w:rsid w:val="004317CC"/>
    <w:rsid w:val="00431B52"/>
    <w:rsid w:val="00431D59"/>
    <w:rsid w:val="00431DB9"/>
    <w:rsid w:val="0043391F"/>
    <w:rsid w:val="00435EEC"/>
    <w:rsid w:val="0043685F"/>
    <w:rsid w:val="00436B0C"/>
    <w:rsid w:val="00440F09"/>
    <w:rsid w:val="0044175E"/>
    <w:rsid w:val="00445C99"/>
    <w:rsid w:val="00446CBD"/>
    <w:rsid w:val="00446EF4"/>
    <w:rsid w:val="00447F9C"/>
    <w:rsid w:val="0045123B"/>
    <w:rsid w:val="00451ED6"/>
    <w:rsid w:val="00455F61"/>
    <w:rsid w:val="00456696"/>
    <w:rsid w:val="004573DB"/>
    <w:rsid w:val="00461F3E"/>
    <w:rsid w:val="00464CF7"/>
    <w:rsid w:val="0046505A"/>
    <w:rsid w:val="00465D2E"/>
    <w:rsid w:val="0046688A"/>
    <w:rsid w:val="00467658"/>
    <w:rsid w:val="004718C8"/>
    <w:rsid w:val="004719A6"/>
    <w:rsid w:val="00472602"/>
    <w:rsid w:val="004737B1"/>
    <w:rsid w:val="00476397"/>
    <w:rsid w:val="00480CAE"/>
    <w:rsid w:val="004824C2"/>
    <w:rsid w:val="004832A8"/>
    <w:rsid w:val="004838DC"/>
    <w:rsid w:val="00484AA4"/>
    <w:rsid w:val="00487076"/>
    <w:rsid w:val="00490D80"/>
    <w:rsid w:val="00490E64"/>
    <w:rsid w:val="00491519"/>
    <w:rsid w:val="00492965"/>
    <w:rsid w:val="00493C97"/>
    <w:rsid w:val="0049466C"/>
    <w:rsid w:val="004947C0"/>
    <w:rsid w:val="00495843"/>
    <w:rsid w:val="0049593D"/>
    <w:rsid w:val="004976EE"/>
    <w:rsid w:val="004A3108"/>
    <w:rsid w:val="004A3DA2"/>
    <w:rsid w:val="004A47D0"/>
    <w:rsid w:val="004A4F30"/>
    <w:rsid w:val="004A6C83"/>
    <w:rsid w:val="004A7472"/>
    <w:rsid w:val="004B069B"/>
    <w:rsid w:val="004B1567"/>
    <w:rsid w:val="004B1745"/>
    <w:rsid w:val="004B1E42"/>
    <w:rsid w:val="004B20B2"/>
    <w:rsid w:val="004B22EF"/>
    <w:rsid w:val="004B3E60"/>
    <w:rsid w:val="004B4F86"/>
    <w:rsid w:val="004B62CE"/>
    <w:rsid w:val="004B7B8E"/>
    <w:rsid w:val="004C1479"/>
    <w:rsid w:val="004C3902"/>
    <w:rsid w:val="004C4FA7"/>
    <w:rsid w:val="004C717A"/>
    <w:rsid w:val="004D23B0"/>
    <w:rsid w:val="004D53D0"/>
    <w:rsid w:val="004D5FA0"/>
    <w:rsid w:val="004D71BF"/>
    <w:rsid w:val="004E0A69"/>
    <w:rsid w:val="004E12D2"/>
    <w:rsid w:val="004E2006"/>
    <w:rsid w:val="004E39DF"/>
    <w:rsid w:val="004E4D8E"/>
    <w:rsid w:val="004E67BA"/>
    <w:rsid w:val="004E6CFB"/>
    <w:rsid w:val="004E6D39"/>
    <w:rsid w:val="004E7163"/>
    <w:rsid w:val="004F1871"/>
    <w:rsid w:val="004F1B94"/>
    <w:rsid w:val="004F7D53"/>
    <w:rsid w:val="00501195"/>
    <w:rsid w:val="005012F8"/>
    <w:rsid w:val="0050178E"/>
    <w:rsid w:val="00502288"/>
    <w:rsid w:val="00504D08"/>
    <w:rsid w:val="0050614B"/>
    <w:rsid w:val="005067C3"/>
    <w:rsid w:val="00506EC5"/>
    <w:rsid w:val="00507506"/>
    <w:rsid w:val="00511373"/>
    <w:rsid w:val="00513C86"/>
    <w:rsid w:val="00514079"/>
    <w:rsid w:val="00516DCD"/>
    <w:rsid w:val="00517017"/>
    <w:rsid w:val="0051746E"/>
    <w:rsid w:val="005221D4"/>
    <w:rsid w:val="005223E7"/>
    <w:rsid w:val="00522755"/>
    <w:rsid w:val="00523280"/>
    <w:rsid w:val="00523A44"/>
    <w:rsid w:val="00524150"/>
    <w:rsid w:val="005253A1"/>
    <w:rsid w:val="005255C2"/>
    <w:rsid w:val="005260E8"/>
    <w:rsid w:val="005263AF"/>
    <w:rsid w:val="00526D63"/>
    <w:rsid w:val="0053197A"/>
    <w:rsid w:val="0053253F"/>
    <w:rsid w:val="00532E6F"/>
    <w:rsid w:val="00533A0D"/>
    <w:rsid w:val="00533BAD"/>
    <w:rsid w:val="00536157"/>
    <w:rsid w:val="005373E5"/>
    <w:rsid w:val="00537AC7"/>
    <w:rsid w:val="0054008B"/>
    <w:rsid w:val="005409DF"/>
    <w:rsid w:val="005415DA"/>
    <w:rsid w:val="005421F1"/>
    <w:rsid w:val="00542A65"/>
    <w:rsid w:val="00543CA9"/>
    <w:rsid w:val="00544BA4"/>
    <w:rsid w:val="00544EFB"/>
    <w:rsid w:val="00546D19"/>
    <w:rsid w:val="00546F90"/>
    <w:rsid w:val="00547959"/>
    <w:rsid w:val="00550067"/>
    <w:rsid w:val="00551054"/>
    <w:rsid w:val="00552F74"/>
    <w:rsid w:val="00555F21"/>
    <w:rsid w:val="0055610E"/>
    <w:rsid w:val="0055650E"/>
    <w:rsid w:val="00561004"/>
    <w:rsid w:val="00562891"/>
    <w:rsid w:val="00563094"/>
    <w:rsid w:val="00563390"/>
    <w:rsid w:val="00564525"/>
    <w:rsid w:val="00565EE9"/>
    <w:rsid w:val="00566BF8"/>
    <w:rsid w:val="00570246"/>
    <w:rsid w:val="005708EE"/>
    <w:rsid w:val="00570904"/>
    <w:rsid w:val="00571288"/>
    <w:rsid w:val="00575215"/>
    <w:rsid w:val="00576C25"/>
    <w:rsid w:val="00577499"/>
    <w:rsid w:val="00577A06"/>
    <w:rsid w:val="0058295F"/>
    <w:rsid w:val="0058353E"/>
    <w:rsid w:val="00583CA9"/>
    <w:rsid w:val="00583FE4"/>
    <w:rsid w:val="00584753"/>
    <w:rsid w:val="00584AAA"/>
    <w:rsid w:val="00585D9C"/>
    <w:rsid w:val="00587772"/>
    <w:rsid w:val="00587978"/>
    <w:rsid w:val="0059138D"/>
    <w:rsid w:val="00591CB2"/>
    <w:rsid w:val="00594CB8"/>
    <w:rsid w:val="005964CC"/>
    <w:rsid w:val="005A10AD"/>
    <w:rsid w:val="005A4471"/>
    <w:rsid w:val="005B0225"/>
    <w:rsid w:val="005B2197"/>
    <w:rsid w:val="005B2512"/>
    <w:rsid w:val="005B33A2"/>
    <w:rsid w:val="005B3872"/>
    <w:rsid w:val="005B5FB6"/>
    <w:rsid w:val="005B7088"/>
    <w:rsid w:val="005C077C"/>
    <w:rsid w:val="005C0894"/>
    <w:rsid w:val="005C17F2"/>
    <w:rsid w:val="005C3045"/>
    <w:rsid w:val="005C604C"/>
    <w:rsid w:val="005C6964"/>
    <w:rsid w:val="005C7394"/>
    <w:rsid w:val="005C7942"/>
    <w:rsid w:val="005D104B"/>
    <w:rsid w:val="005D1328"/>
    <w:rsid w:val="005D1DA6"/>
    <w:rsid w:val="005D3B3E"/>
    <w:rsid w:val="005D4E05"/>
    <w:rsid w:val="005D7A3D"/>
    <w:rsid w:val="005E0D24"/>
    <w:rsid w:val="005E1FF1"/>
    <w:rsid w:val="005E2CD3"/>
    <w:rsid w:val="005E68CB"/>
    <w:rsid w:val="005E755B"/>
    <w:rsid w:val="005E788E"/>
    <w:rsid w:val="005F05EC"/>
    <w:rsid w:val="005F0A8E"/>
    <w:rsid w:val="005F243E"/>
    <w:rsid w:val="005F33B2"/>
    <w:rsid w:val="005F42C1"/>
    <w:rsid w:val="005F61CD"/>
    <w:rsid w:val="005F6725"/>
    <w:rsid w:val="005F6EB7"/>
    <w:rsid w:val="0060048F"/>
    <w:rsid w:val="0060158D"/>
    <w:rsid w:val="00601CD9"/>
    <w:rsid w:val="00602C34"/>
    <w:rsid w:val="0060464B"/>
    <w:rsid w:val="006055C6"/>
    <w:rsid w:val="006068D2"/>
    <w:rsid w:val="00607B55"/>
    <w:rsid w:val="006110C4"/>
    <w:rsid w:val="00611FC9"/>
    <w:rsid w:val="0061264E"/>
    <w:rsid w:val="00616036"/>
    <w:rsid w:val="006168D6"/>
    <w:rsid w:val="00616FEE"/>
    <w:rsid w:val="006172B7"/>
    <w:rsid w:val="0062050D"/>
    <w:rsid w:val="006241B8"/>
    <w:rsid w:val="006244DD"/>
    <w:rsid w:val="00624A1C"/>
    <w:rsid w:val="00625C93"/>
    <w:rsid w:val="006272CE"/>
    <w:rsid w:val="00630F6D"/>
    <w:rsid w:val="00632856"/>
    <w:rsid w:val="006335FF"/>
    <w:rsid w:val="00634D48"/>
    <w:rsid w:val="006368D1"/>
    <w:rsid w:val="00640A91"/>
    <w:rsid w:val="00640AD1"/>
    <w:rsid w:val="00641D53"/>
    <w:rsid w:val="0064232B"/>
    <w:rsid w:val="00642D03"/>
    <w:rsid w:val="00642E8F"/>
    <w:rsid w:val="006449E9"/>
    <w:rsid w:val="00646B86"/>
    <w:rsid w:val="006514C7"/>
    <w:rsid w:val="00651726"/>
    <w:rsid w:val="006522FC"/>
    <w:rsid w:val="00656B70"/>
    <w:rsid w:val="00661445"/>
    <w:rsid w:val="00665838"/>
    <w:rsid w:val="0066797A"/>
    <w:rsid w:val="00671D44"/>
    <w:rsid w:val="00673A29"/>
    <w:rsid w:val="00673A70"/>
    <w:rsid w:val="00673E69"/>
    <w:rsid w:val="0067414A"/>
    <w:rsid w:val="00674389"/>
    <w:rsid w:val="006744F2"/>
    <w:rsid w:val="00676FB6"/>
    <w:rsid w:val="00681314"/>
    <w:rsid w:val="00682F9D"/>
    <w:rsid w:val="0068335B"/>
    <w:rsid w:val="00683BFD"/>
    <w:rsid w:val="00684326"/>
    <w:rsid w:val="006844ED"/>
    <w:rsid w:val="0068784A"/>
    <w:rsid w:val="0069208F"/>
    <w:rsid w:val="0069309B"/>
    <w:rsid w:val="00694DB1"/>
    <w:rsid w:val="006953D7"/>
    <w:rsid w:val="00697B51"/>
    <w:rsid w:val="006A1CE4"/>
    <w:rsid w:val="006A1FE7"/>
    <w:rsid w:val="006A27A5"/>
    <w:rsid w:val="006A5CB2"/>
    <w:rsid w:val="006A6DDC"/>
    <w:rsid w:val="006A741E"/>
    <w:rsid w:val="006B34D1"/>
    <w:rsid w:val="006B450F"/>
    <w:rsid w:val="006B4DFE"/>
    <w:rsid w:val="006B65A8"/>
    <w:rsid w:val="006B7B54"/>
    <w:rsid w:val="006C6DCF"/>
    <w:rsid w:val="006C723E"/>
    <w:rsid w:val="006C7917"/>
    <w:rsid w:val="006C7BA4"/>
    <w:rsid w:val="006C7C96"/>
    <w:rsid w:val="006D18AC"/>
    <w:rsid w:val="006D2E32"/>
    <w:rsid w:val="006D326C"/>
    <w:rsid w:val="006D4011"/>
    <w:rsid w:val="006D46BC"/>
    <w:rsid w:val="006D53E4"/>
    <w:rsid w:val="006D566C"/>
    <w:rsid w:val="006D5A1B"/>
    <w:rsid w:val="006D5D49"/>
    <w:rsid w:val="006D6D59"/>
    <w:rsid w:val="006D724E"/>
    <w:rsid w:val="006D73F5"/>
    <w:rsid w:val="006E2FEE"/>
    <w:rsid w:val="006E374F"/>
    <w:rsid w:val="006E3A1B"/>
    <w:rsid w:val="006E6155"/>
    <w:rsid w:val="006E79B1"/>
    <w:rsid w:val="006F158F"/>
    <w:rsid w:val="006F24AE"/>
    <w:rsid w:val="006F550C"/>
    <w:rsid w:val="006F5C69"/>
    <w:rsid w:val="006F61E5"/>
    <w:rsid w:val="006F7256"/>
    <w:rsid w:val="007003C0"/>
    <w:rsid w:val="00700BC7"/>
    <w:rsid w:val="00700D65"/>
    <w:rsid w:val="00702DEE"/>
    <w:rsid w:val="00703A1D"/>
    <w:rsid w:val="00704F9D"/>
    <w:rsid w:val="007058E2"/>
    <w:rsid w:val="007062A1"/>
    <w:rsid w:val="00710CD0"/>
    <w:rsid w:val="0071151E"/>
    <w:rsid w:val="0071204D"/>
    <w:rsid w:val="007122F0"/>
    <w:rsid w:val="00713F51"/>
    <w:rsid w:val="00717154"/>
    <w:rsid w:val="0071760D"/>
    <w:rsid w:val="0071799E"/>
    <w:rsid w:val="007201B1"/>
    <w:rsid w:val="007211B5"/>
    <w:rsid w:val="007214CA"/>
    <w:rsid w:val="00722163"/>
    <w:rsid w:val="007225DB"/>
    <w:rsid w:val="007262FE"/>
    <w:rsid w:val="00727050"/>
    <w:rsid w:val="007310A0"/>
    <w:rsid w:val="00731801"/>
    <w:rsid w:val="0073268A"/>
    <w:rsid w:val="00732732"/>
    <w:rsid w:val="00732F3E"/>
    <w:rsid w:val="0073374D"/>
    <w:rsid w:val="00734912"/>
    <w:rsid w:val="00735F38"/>
    <w:rsid w:val="00736F67"/>
    <w:rsid w:val="007402BD"/>
    <w:rsid w:val="007431C3"/>
    <w:rsid w:val="00744630"/>
    <w:rsid w:val="00744A22"/>
    <w:rsid w:val="007454D9"/>
    <w:rsid w:val="00746C35"/>
    <w:rsid w:val="00746CB2"/>
    <w:rsid w:val="00747EC5"/>
    <w:rsid w:val="00751220"/>
    <w:rsid w:val="0075222A"/>
    <w:rsid w:val="00752D01"/>
    <w:rsid w:val="00753F8F"/>
    <w:rsid w:val="007566E3"/>
    <w:rsid w:val="00760869"/>
    <w:rsid w:val="00762120"/>
    <w:rsid w:val="00764103"/>
    <w:rsid w:val="007650C8"/>
    <w:rsid w:val="007651AF"/>
    <w:rsid w:val="00765F04"/>
    <w:rsid w:val="00771EA5"/>
    <w:rsid w:val="007725BC"/>
    <w:rsid w:val="007736A5"/>
    <w:rsid w:val="007762C1"/>
    <w:rsid w:val="00781ADC"/>
    <w:rsid w:val="007824E3"/>
    <w:rsid w:val="00782DA0"/>
    <w:rsid w:val="00783567"/>
    <w:rsid w:val="00786B15"/>
    <w:rsid w:val="00787C07"/>
    <w:rsid w:val="00790944"/>
    <w:rsid w:val="00791F98"/>
    <w:rsid w:val="007928CF"/>
    <w:rsid w:val="00793292"/>
    <w:rsid w:val="00794087"/>
    <w:rsid w:val="0079708B"/>
    <w:rsid w:val="00797189"/>
    <w:rsid w:val="00797A57"/>
    <w:rsid w:val="007A1571"/>
    <w:rsid w:val="007A1CBC"/>
    <w:rsid w:val="007A2152"/>
    <w:rsid w:val="007A2691"/>
    <w:rsid w:val="007A2D2F"/>
    <w:rsid w:val="007A3700"/>
    <w:rsid w:val="007A52CF"/>
    <w:rsid w:val="007A6604"/>
    <w:rsid w:val="007A6956"/>
    <w:rsid w:val="007A6C0B"/>
    <w:rsid w:val="007A7AF7"/>
    <w:rsid w:val="007B2039"/>
    <w:rsid w:val="007B2628"/>
    <w:rsid w:val="007B51F3"/>
    <w:rsid w:val="007B671D"/>
    <w:rsid w:val="007B67E6"/>
    <w:rsid w:val="007B7C53"/>
    <w:rsid w:val="007C0316"/>
    <w:rsid w:val="007C0363"/>
    <w:rsid w:val="007C3A89"/>
    <w:rsid w:val="007C6DF7"/>
    <w:rsid w:val="007D2EDB"/>
    <w:rsid w:val="007D51D0"/>
    <w:rsid w:val="007D737F"/>
    <w:rsid w:val="007D7AF1"/>
    <w:rsid w:val="007E14F1"/>
    <w:rsid w:val="007E4533"/>
    <w:rsid w:val="007E4A50"/>
    <w:rsid w:val="007E4CA5"/>
    <w:rsid w:val="007E547D"/>
    <w:rsid w:val="007F0BDD"/>
    <w:rsid w:val="007F21D6"/>
    <w:rsid w:val="007F2879"/>
    <w:rsid w:val="007F579F"/>
    <w:rsid w:val="007F7496"/>
    <w:rsid w:val="007F7AB7"/>
    <w:rsid w:val="008011A7"/>
    <w:rsid w:val="00801DBF"/>
    <w:rsid w:val="00801FFF"/>
    <w:rsid w:val="00802B43"/>
    <w:rsid w:val="008034DC"/>
    <w:rsid w:val="00803657"/>
    <w:rsid w:val="008036A4"/>
    <w:rsid w:val="00807A9A"/>
    <w:rsid w:val="00807BD8"/>
    <w:rsid w:val="00807C0D"/>
    <w:rsid w:val="00814753"/>
    <w:rsid w:val="008147FB"/>
    <w:rsid w:val="00814A2F"/>
    <w:rsid w:val="00814C03"/>
    <w:rsid w:val="00815A1B"/>
    <w:rsid w:val="0081648D"/>
    <w:rsid w:val="00817D40"/>
    <w:rsid w:val="008200AE"/>
    <w:rsid w:val="00820F89"/>
    <w:rsid w:val="00821C18"/>
    <w:rsid w:val="0082239A"/>
    <w:rsid w:val="00825DF8"/>
    <w:rsid w:val="00825FFD"/>
    <w:rsid w:val="00827369"/>
    <w:rsid w:val="00830A69"/>
    <w:rsid w:val="0083282A"/>
    <w:rsid w:val="0083310B"/>
    <w:rsid w:val="00833F1D"/>
    <w:rsid w:val="00834F64"/>
    <w:rsid w:val="00834F92"/>
    <w:rsid w:val="008356E3"/>
    <w:rsid w:val="008374A4"/>
    <w:rsid w:val="0083777A"/>
    <w:rsid w:val="0084144A"/>
    <w:rsid w:val="008415BF"/>
    <w:rsid w:val="00841B2A"/>
    <w:rsid w:val="00842403"/>
    <w:rsid w:val="0084393C"/>
    <w:rsid w:val="00843D32"/>
    <w:rsid w:val="00844867"/>
    <w:rsid w:val="00846A46"/>
    <w:rsid w:val="008512AA"/>
    <w:rsid w:val="00851B8C"/>
    <w:rsid w:val="00852F41"/>
    <w:rsid w:val="008550E5"/>
    <w:rsid w:val="0085620A"/>
    <w:rsid w:val="008564D5"/>
    <w:rsid w:val="00857EE1"/>
    <w:rsid w:val="00860B3B"/>
    <w:rsid w:val="00860EF3"/>
    <w:rsid w:val="0086173F"/>
    <w:rsid w:val="008646BC"/>
    <w:rsid w:val="00864943"/>
    <w:rsid w:val="0087103A"/>
    <w:rsid w:val="00871CF0"/>
    <w:rsid w:val="0087271C"/>
    <w:rsid w:val="00875F68"/>
    <w:rsid w:val="00877B1F"/>
    <w:rsid w:val="0088106A"/>
    <w:rsid w:val="008812EF"/>
    <w:rsid w:val="0088138D"/>
    <w:rsid w:val="0088243F"/>
    <w:rsid w:val="00883516"/>
    <w:rsid w:val="00886611"/>
    <w:rsid w:val="00890F3D"/>
    <w:rsid w:val="00891650"/>
    <w:rsid w:val="00892063"/>
    <w:rsid w:val="0089241D"/>
    <w:rsid w:val="00892780"/>
    <w:rsid w:val="00892D9B"/>
    <w:rsid w:val="008932A6"/>
    <w:rsid w:val="00894E75"/>
    <w:rsid w:val="008955D3"/>
    <w:rsid w:val="00897500"/>
    <w:rsid w:val="008979CB"/>
    <w:rsid w:val="008A101C"/>
    <w:rsid w:val="008A1E05"/>
    <w:rsid w:val="008A30D7"/>
    <w:rsid w:val="008A3AC0"/>
    <w:rsid w:val="008A4701"/>
    <w:rsid w:val="008A603B"/>
    <w:rsid w:val="008B084F"/>
    <w:rsid w:val="008B195B"/>
    <w:rsid w:val="008B257E"/>
    <w:rsid w:val="008B5692"/>
    <w:rsid w:val="008B6A43"/>
    <w:rsid w:val="008B6B55"/>
    <w:rsid w:val="008B6E6E"/>
    <w:rsid w:val="008B7486"/>
    <w:rsid w:val="008B7EB5"/>
    <w:rsid w:val="008C27F3"/>
    <w:rsid w:val="008C3518"/>
    <w:rsid w:val="008C3EE9"/>
    <w:rsid w:val="008C4001"/>
    <w:rsid w:val="008C4111"/>
    <w:rsid w:val="008C479A"/>
    <w:rsid w:val="008C5754"/>
    <w:rsid w:val="008C6A7F"/>
    <w:rsid w:val="008D1270"/>
    <w:rsid w:val="008D152E"/>
    <w:rsid w:val="008D23F7"/>
    <w:rsid w:val="008D27D0"/>
    <w:rsid w:val="008D40BE"/>
    <w:rsid w:val="008D5E3F"/>
    <w:rsid w:val="008E11E7"/>
    <w:rsid w:val="008E3329"/>
    <w:rsid w:val="008E3A22"/>
    <w:rsid w:val="008E484C"/>
    <w:rsid w:val="008E639D"/>
    <w:rsid w:val="008F6B2B"/>
    <w:rsid w:val="008F7938"/>
    <w:rsid w:val="00903741"/>
    <w:rsid w:val="00905E18"/>
    <w:rsid w:val="00907289"/>
    <w:rsid w:val="0090750B"/>
    <w:rsid w:val="00911117"/>
    <w:rsid w:val="00911AFF"/>
    <w:rsid w:val="00912A3B"/>
    <w:rsid w:val="00915A6B"/>
    <w:rsid w:val="0091649E"/>
    <w:rsid w:val="00917CE4"/>
    <w:rsid w:val="00920F30"/>
    <w:rsid w:val="009220A4"/>
    <w:rsid w:val="0092265E"/>
    <w:rsid w:val="0092341F"/>
    <w:rsid w:val="009234A1"/>
    <w:rsid w:val="009238E9"/>
    <w:rsid w:val="00924051"/>
    <w:rsid w:val="009266F4"/>
    <w:rsid w:val="00930022"/>
    <w:rsid w:val="00930476"/>
    <w:rsid w:val="00932DB2"/>
    <w:rsid w:val="009350CC"/>
    <w:rsid w:val="0093760D"/>
    <w:rsid w:val="00937AC3"/>
    <w:rsid w:val="0094057F"/>
    <w:rsid w:val="00940793"/>
    <w:rsid w:val="00940F81"/>
    <w:rsid w:val="0094137A"/>
    <w:rsid w:val="00941C4B"/>
    <w:rsid w:val="0094310E"/>
    <w:rsid w:val="009431D5"/>
    <w:rsid w:val="00946479"/>
    <w:rsid w:val="00946CCB"/>
    <w:rsid w:val="00947B26"/>
    <w:rsid w:val="0095120D"/>
    <w:rsid w:val="00951DF1"/>
    <w:rsid w:val="00952828"/>
    <w:rsid w:val="00957C22"/>
    <w:rsid w:val="009651BE"/>
    <w:rsid w:val="00971D37"/>
    <w:rsid w:val="009748FE"/>
    <w:rsid w:val="0097492A"/>
    <w:rsid w:val="00975767"/>
    <w:rsid w:val="009763C7"/>
    <w:rsid w:val="009801D5"/>
    <w:rsid w:val="0098266B"/>
    <w:rsid w:val="00982DBD"/>
    <w:rsid w:val="00983D26"/>
    <w:rsid w:val="00984C88"/>
    <w:rsid w:val="009862C3"/>
    <w:rsid w:val="009876C8"/>
    <w:rsid w:val="00987FDA"/>
    <w:rsid w:val="009909DA"/>
    <w:rsid w:val="009926F8"/>
    <w:rsid w:val="00994008"/>
    <w:rsid w:val="00995B9A"/>
    <w:rsid w:val="00996263"/>
    <w:rsid w:val="009965E4"/>
    <w:rsid w:val="00997AC5"/>
    <w:rsid w:val="00997B5E"/>
    <w:rsid w:val="009A0AB2"/>
    <w:rsid w:val="009A0DBA"/>
    <w:rsid w:val="009A194D"/>
    <w:rsid w:val="009A3E8C"/>
    <w:rsid w:val="009A48C7"/>
    <w:rsid w:val="009A5994"/>
    <w:rsid w:val="009A5D3C"/>
    <w:rsid w:val="009A5FDA"/>
    <w:rsid w:val="009A7784"/>
    <w:rsid w:val="009B1EEB"/>
    <w:rsid w:val="009B49C9"/>
    <w:rsid w:val="009B6963"/>
    <w:rsid w:val="009B6D4A"/>
    <w:rsid w:val="009C1798"/>
    <w:rsid w:val="009C3867"/>
    <w:rsid w:val="009C6BC1"/>
    <w:rsid w:val="009D08AB"/>
    <w:rsid w:val="009D0B1E"/>
    <w:rsid w:val="009D34FE"/>
    <w:rsid w:val="009D3BAA"/>
    <w:rsid w:val="009D3C2B"/>
    <w:rsid w:val="009D46F4"/>
    <w:rsid w:val="009D48C1"/>
    <w:rsid w:val="009D4D1C"/>
    <w:rsid w:val="009D518F"/>
    <w:rsid w:val="009D6590"/>
    <w:rsid w:val="009D7A15"/>
    <w:rsid w:val="009E0C8F"/>
    <w:rsid w:val="009E1F1E"/>
    <w:rsid w:val="009E221F"/>
    <w:rsid w:val="009E3B72"/>
    <w:rsid w:val="009E3EBB"/>
    <w:rsid w:val="009E6CC8"/>
    <w:rsid w:val="009E74BB"/>
    <w:rsid w:val="009E7DF0"/>
    <w:rsid w:val="009F0461"/>
    <w:rsid w:val="009F08A9"/>
    <w:rsid w:val="009F1BB6"/>
    <w:rsid w:val="009F1D82"/>
    <w:rsid w:val="009F1EF5"/>
    <w:rsid w:val="009F47B6"/>
    <w:rsid w:val="009F5443"/>
    <w:rsid w:val="00A0018E"/>
    <w:rsid w:val="00A019D0"/>
    <w:rsid w:val="00A02B60"/>
    <w:rsid w:val="00A05334"/>
    <w:rsid w:val="00A07BC5"/>
    <w:rsid w:val="00A10445"/>
    <w:rsid w:val="00A135C9"/>
    <w:rsid w:val="00A15C6F"/>
    <w:rsid w:val="00A204C8"/>
    <w:rsid w:val="00A211DE"/>
    <w:rsid w:val="00A21EDB"/>
    <w:rsid w:val="00A22E3C"/>
    <w:rsid w:val="00A23007"/>
    <w:rsid w:val="00A26AF6"/>
    <w:rsid w:val="00A27936"/>
    <w:rsid w:val="00A27CF4"/>
    <w:rsid w:val="00A3005C"/>
    <w:rsid w:val="00A30B81"/>
    <w:rsid w:val="00A3143B"/>
    <w:rsid w:val="00A33202"/>
    <w:rsid w:val="00A33C32"/>
    <w:rsid w:val="00A3543D"/>
    <w:rsid w:val="00A362BD"/>
    <w:rsid w:val="00A377CD"/>
    <w:rsid w:val="00A37C11"/>
    <w:rsid w:val="00A40A9B"/>
    <w:rsid w:val="00A4419C"/>
    <w:rsid w:val="00A44A7E"/>
    <w:rsid w:val="00A4510E"/>
    <w:rsid w:val="00A451E1"/>
    <w:rsid w:val="00A46AB9"/>
    <w:rsid w:val="00A474D2"/>
    <w:rsid w:val="00A50E29"/>
    <w:rsid w:val="00A50EF4"/>
    <w:rsid w:val="00A512AF"/>
    <w:rsid w:val="00A51D0F"/>
    <w:rsid w:val="00A53179"/>
    <w:rsid w:val="00A531C5"/>
    <w:rsid w:val="00A545AC"/>
    <w:rsid w:val="00A56D47"/>
    <w:rsid w:val="00A609AC"/>
    <w:rsid w:val="00A60E9D"/>
    <w:rsid w:val="00A61427"/>
    <w:rsid w:val="00A61454"/>
    <w:rsid w:val="00A62653"/>
    <w:rsid w:val="00A62AF9"/>
    <w:rsid w:val="00A62C0A"/>
    <w:rsid w:val="00A63ACB"/>
    <w:rsid w:val="00A63FDB"/>
    <w:rsid w:val="00A656E1"/>
    <w:rsid w:val="00A672A7"/>
    <w:rsid w:val="00A672C3"/>
    <w:rsid w:val="00A70332"/>
    <w:rsid w:val="00A71B2C"/>
    <w:rsid w:val="00A72510"/>
    <w:rsid w:val="00A731AD"/>
    <w:rsid w:val="00A74BF4"/>
    <w:rsid w:val="00A75B1C"/>
    <w:rsid w:val="00A7647B"/>
    <w:rsid w:val="00A7650E"/>
    <w:rsid w:val="00A766D2"/>
    <w:rsid w:val="00A767A9"/>
    <w:rsid w:val="00A80364"/>
    <w:rsid w:val="00A81096"/>
    <w:rsid w:val="00A81A63"/>
    <w:rsid w:val="00A81E6D"/>
    <w:rsid w:val="00A8331B"/>
    <w:rsid w:val="00A8391D"/>
    <w:rsid w:val="00A85248"/>
    <w:rsid w:val="00A86DA5"/>
    <w:rsid w:val="00A9065F"/>
    <w:rsid w:val="00A91F9D"/>
    <w:rsid w:val="00A92E41"/>
    <w:rsid w:val="00A9474D"/>
    <w:rsid w:val="00A95583"/>
    <w:rsid w:val="00AA005B"/>
    <w:rsid w:val="00AA0D91"/>
    <w:rsid w:val="00AA2A7F"/>
    <w:rsid w:val="00AA3F58"/>
    <w:rsid w:val="00AA5C69"/>
    <w:rsid w:val="00AA5D08"/>
    <w:rsid w:val="00AA687C"/>
    <w:rsid w:val="00AA6A5A"/>
    <w:rsid w:val="00AA712C"/>
    <w:rsid w:val="00AB12AD"/>
    <w:rsid w:val="00AB6FFB"/>
    <w:rsid w:val="00AB74B1"/>
    <w:rsid w:val="00AB7DB3"/>
    <w:rsid w:val="00AC0243"/>
    <w:rsid w:val="00AC07E8"/>
    <w:rsid w:val="00AC0A45"/>
    <w:rsid w:val="00AC13F8"/>
    <w:rsid w:val="00AC1852"/>
    <w:rsid w:val="00AC2C3A"/>
    <w:rsid w:val="00AC3286"/>
    <w:rsid w:val="00AC5205"/>
    <w:rsid w:val="00AC732F"/>
    <w:rsid w:val="00AD17CB"/>
    <w:rsid w:val="00AD30C3"/>
    <w:rsid w:val="00AD591E"/>
    <w:rsid w:val="00AD668A"/>
    <w:rsid w:val="00AD7048"/>
    <w:rsid w:val="00AD7939"/>
    <w:rsid w:val="00AD7974"/>
    <w:rsid w:val="00AE1338"/>
    <w:rsid w:val="00AE3275"/>
    <w:rsid w:val="00AE3586"/>
    <w:rsid w:val="00AE712E"/>
    <w:rsid w:val="00AE73F2"/>
    <w:rsid w:val="00AF105A"/>
    <w:rsid w:val="00AF3601"/>
    <w:rsid w:val="00AF3CAA"/>
    <w:rsid w:val="00AF5B5D"/>
    <w:rsid w:val="00AF6FE1"/>
    <w:rsid w:val="00AF7C6E"/>
    <w:rsid w:val="00B01343"/>
    <w:rsid w:val="00B0264F"/>
    <w:rsid w:val="00B0379B"/>
    <w:rsid w:val="00B0448F"/>
    <w:rsid w:val="00B046D1"/>
    <w:rsid w:val="00B05BDD"/>
    <w:rsid w:val="00B062E3"/>
    <w:rsid w:val="00B066EB"/>
    <w:rsid w:val="00B07CA5"/>
    <w:rsid w:val="00B10E79"/>
    <w:rsid w:val="00B14FE6"/>
    <w:rsid w:val="00B15241"/>
    <w:rsid w:val="00B1530F"/>
    <w:rsid w:val="00B156B7"/>
    <w:rsid w:val="00B17DC7"/>
    <w:rsid w:val="00B2013F"/>
    <w:rsid w:val="00B20292"/>
    <w:rsid w:val="00B2340B"/>
    <w:rsid w:val="00B24142"/>
    <w:rsid w:val="00B24E0C"/>
    <w:rsid w:val="00B2512A"/>
    <w:rsid w:val="00B261F9"/>
    <w:rsid w:val="00B30309"/>
    <w:rsid w:val="00B338D4"/>
    <w:rsid w:val="00B33E5E"/>
    <w:rsid w:val="00B3531E"/>
    <w:rsid w:val="00B3532A"/>
    <w:rsid w:val="00B35FAE"/>
    <w:rsid w:val="00B361CA"/>
    <w:rsid w:val="00B36371"/>
    <w:rsid w:val="00B4197C"/>
    <w:rsid w:val="00B458D4"/>
    <w:rsid w:val="00B45B9A"/>
    <w:rsid w:val="00B467C1"/>
    <w:rsid w:val="00B46A99"/>
    <w:rsid w:val="00B4731E"/>
    <w:rsid w:val="00B50793"/>
    <w:rsid w:val="00B5235C"/>
    <w:rsid w:val="00B53DE5"/>
    <w:rsid w:val="00B54DD0"/>
    <w:rsid w:val="00B5528F"/>
    <w:rsid w:val="00B5596E"/>
    <w:rsid w:val="00B56163"/>
    <w:rsid w:val="00B56F26"/>
    <w:rsid w:val="00B60CE4"/>
    <w:rsid w:val="00B61BC4"/>
    <w:rsid w:val="00B64768"/>
    <w:rsid w:val="00B70814"/>
    <w:rsid w:val="00B727C5"/>
    <w:rsid w:val="00B72DD2"/>
    <w:rsid w:val="00B73E1D"/>
    <w:rsid w:val="00B74B3E"/>
    <w:rsid w:val="00B75C3C"/>
    <w:rsid w:val="00B77E61"/>
    <w:rsid w:val="00B77EF1"/>
    <w:rsid w:val="00B8156D"/>
    <w:rsid w:val="00B818D9"/>
    <w:rsid w:val="00B82173"/>
    <w:rsid w:val="00B822BB"/>
    <w:rsid w:val="00B8262E"/>
    <w:rsid w:val="00B82FE6"/>
    <w:rsid w:val="00B831FC"/>
    <w:rsid w:val="00B8372A"/>
    <w:rsid w:val="00B83AB9"/>
    <w:rsid w:val="00B852D4"/>
    <w:rsid w:val="00B86C0A"/>
    <w:rsid w:val="00B90BF4"/>
    <w:rsid w:val="00B9146B"/>
    <w:rsid w:val="00B91A18"/>
    <w:rsid w:val="00B93E87"/>
    <w:rsid w:val="00B941A1"/>
    <w:rsid w:val="00B94A20"/>
    <w:rsid w:val="00B94F3F"/>
    <w:rsid w:val="00B95103"/>
    <w:rsid w:val="00B96D5F"/>
    <w:rsid w:val="00B97B27"/>
    <w:rsid w:val="00BA0E8A"/>
    <w:rsid w:val="00BA1A9E"/>
    <w:rsid w:val="00BA282D"/>
    <w:rsid w:val="00BA2930"/>
    <w:rsid w:val="00BA32C0"/>
    <w:rsid w:val="00BA52B6"/>
    <w:rsid w:val="00BA59B8"/>
    <w:rsid w:val="00BA6ACB"/>
    <w:rsid w:val="00BA6E9B"/>
    <w:rsid w:val="00BB4BCC"/>
    <w:rsid w:val="00BB549C"/>
    <w:rsid w:val="00BB55C8"/>
    <w:rsid w:val="00BC0AE1"/>
    <w:rsid w:val="00BC0CC5"/>
    <w:rsid w:val="00BC21E5"/>
    <w:rsid w:val="00BC26EF"/>
    <w:rsid w:val="00BC2840"/>
    <w:rsid w:val="00BC70FA"/>
    <w:rsid w:val="00BD10EB"/>
    <w:rsid w:val="00BD1B02"/>
    <w:rsid w:val="00BD2445"/>
    <w:rsid w:val="00BD310D"/>
    <w:rsid w:val="00BD58E1"/>
    <w:rsid w:val="00BD5EA2"/>
    <w:rsid w:val="00BE0A08"/>
    <w:rsid w:val="00BE113F"/>
    <w:rsid w:val="00BE16BD"/>
    <w:rsid w:val="00BE3A41"/>
    <w:rsid w:val="00BF078C"/>
    <w:rsid w:val="00BF13CD"/>
    <w:rsid w:val="00BF23DB"/>
    <w:rsid w:val="00BF255C"/>
    <w:rsid w:val="00BF2565"/>
    <w:rsid w:val="00BF4B15"/>
    <w:rsid w:val="00BF5182"/>
    <w:rsid w:val="00C00895"/>
    <w:rsid w:val="00C0172B"/>
    <w:rsid w:val="00C02FB4"/>
    <w:rsid w:val="00C0329D"/>
    <w:rsid w:val="00C046DF"/>
    <w:rsid w:val="00C05D31"/>
    <w:rsid w:val="00C068A6"/>
    <w:rsid w:val="00C07F46"/>
    <w:rsid w:val="00C121F5"/>
    <w:rsid w:val="00C14682"/>
    <w:rsid w:val="00C14C16"/>
    <w:rsid w:val="00C1501A"/>
    <w:rsid w:val="00C15E43"/>
    <w:rsid w:val="00C16D91"/>
    <w:rsid w:val="00C22123"/>
    <w:rsid w:val="00C228B7"/>
    <w:rsid w:val="00C235DC"/>
    <w:rsid w:val="00C23B91"/>
    <w:rsid w:val="00C24B95"/>
    <w:rsid w:val="00C2515A"/>
    <w:rsid w:val="00C2601A"/>
    <w:rsid w:val="00C261DD"/>
    <w:rsid w:val="00C30C8D"/>
    <w:rsid w:val="00C316C2"/>
    <w:rsid w:val="00C31C1B"/>
    <w:rsid w:val="00C322D4"/>
    <w:rsid w:val="00C3653D"/>
    <w:rsid w:val="00C43992"/>
    <w:rsid w:val="00C45B75"/>
    <w:rsid w:val="00C50FE4"/>
    <w:rsid w:val="00C530D7"/>
    <w:rsid w:val="00C542D7"/>
    <w:rsid w:val="00C54FC8"/>
    <w:rsid w:val="00C552ED"/>
    <w:rsid w:val="00C558CA"/>
    <w:rsid w:val="00C5695C"/>
    <w:rsid w:val="00C573F6"/>
    <w:rsid w:val="00C57F73"/>
    <w:rsid w:val="00C618FA"/>
    <w:rsid w:val="00C62A6F"/>
    <w:rsid w:val="00C630AF"/>
    <w:rsid w:val="00C6446B"/>
    <w:rsid w:val="00C64621"/>
    <w:rsid w:val="00C65539"/>
    <w:rsid w:val="00C65BF1"/>
    <w:rsid w:val="00C67C79"/>
    <w:rsid w:val="00C74414"/>
    <w:rsid w:val="00C757F2"/>
    <w:rsid w:val="00C7785E"/>
    <w:rsid w:val="00C80886"/>
    <w:rsid w:val="00C810C7"/>
    <w:rsid w:val="00C828F5"/>
    <w:rsid w:val="00C83598"/>
    <w:rsid w:val="00C83BDF"/>
    <w:rsid w:val="00C84217"/>
    <w:rsid w:val="00C85122"/>
    <w:rsid w:val="00C86D95"/>
    <w:rsid w:val="00C9096D"/>
    <w:rsid w:val="00C90A9C"/>
    <w:rsid w:val="00C928C4"/>
    <w:rsid w:val="00C93590"/>
    <w:rsid w:val="00C942CE"/>
    <w:rsid w:val="00C95253"/>
    <w:rsid w:val="00C960A9"/>
    <w:rsid w:val="00CA13C5"/>
    <w:rsid w:val="00CA1CE4"/>
    <w:rsid w:val="00CA1D29"/>
    <w:rsid w:val="00CA2B74"/>
    <w:rsid w:val="00CA5575"/>
    <w:rsid w:val="00CB29B4"/>
    <w:rsid w:val="00CB6A35"/>
    <w:rsid w:val="00CB70A2"/>
    <w:rsid w:val="00CC0634"/>
    <w:rsid w:val="00CC1AE0"/>
    <w:rsid w:val="00CC3B31"/>
    <w:rsid w:val="00CC4BA5"/>
    <w:rsid w:val="00CC65EC"/>
    <w:rsid w:val="00CC6651"/>
    <w:rsid w:val="00CC6829"/>
    <w:rsid w:val="00CC711A"/>
    <w:rsid w:val="00CC73CE"/>
    <w:rsid w:val="00CD0173"/>
    <w:rsid w:val="00CD0A49"/>
    <w:rsid w:val="00CD0D9E"/>
    <w:rsid w:val="00CD2B1A"/>
    <w:rsid w:val="00CD2C44"/>
    <w:rsid w:val="00CD4CF3"/>
    <w:rsid w:val="00CD53E1"/>
    <w:rsid w:val="00CD6629"/>
    <w:rsid w:val="00CD6C7E"/>
    <w:rsid w:val="00CE0B2C"/>
    <w:rsid w:val="00CE0B50"/>
    <w:rsid w:val="00CE0DBD"/>
    <w:rsid w:val="00CE0E5A"/>
    <w:rsid w:val="00CE22F4"/>
    <w:rsid w:val="00CE3235"/>
    <w:rsid w:val="00CE3659"/>
    <w:rsid w:val="00CE4370"/>
    <w:rsid w:val="00CE5357"/>
    <w:rsid w:val="00CE6DD2"/>
    <w:rsid w:val="00CE7905"/>
    <w:rsid w:val="00CF0B23"/>
    <w:rsid w:val="00CF209D"/>
    <w:rsid w:val="00CF2379"/>
    <w:rsid w:val="00CF26F2"/>
    <w:rsid w:val="00CF2913"/>
    <w:rsid w:val="00CF34E9"/>
    <w:rsid w:val="00CF4247"/>
    <w:rsid w:val="00CF532B"/>
    <w:rsid w:val="00CF5658"/>
    <w:rsid w:val="00CF6E61"/>
    <w:rsid w:val="00CF7C78"/>
    <w:rsid w:val="00CF7E67"/>
    <w:rsid w:val="00D003B8"/>
    <w:rsid w:val="00D00956"/>
    <w:rsid w:val="00D00D01"/>
    <w:rsid w:val="00D00F35"/>
    <w:rsid w:val="00D022BC"/>
    <w:rsid w:val="00D0451E"/>
    <w:rsid w:val="00D04691"/>
    <w:rsid w:val="00D05EC8"/>
    <w:rsid w:val="00D0708B"/>
    <w:rsid w:val="00D107B2"/>
    <w:rsid w:val="00D13852"/>
    <w:rsid w:val="00D1463D"/>
    <w:rsid w:val="00D170BF"/>
    <w:rsid w:val="00D172C7"/>
    <w:rsid w:val="00D17FD2"/>
    <w:rsid w:val="00D20657"/>
    <w:rsid w:val="00D212C5"/>
    <w:rsid w:val="00D21867"/>
    <w:rsid w:val="00D21D17"/>
    <w:rsid w:val="00D25DCE"/>
    <w:rsid w:val="00D30878"/>
    <w:rsid w:val="00D31B11"/>
    <w:rsid w:val="00D33912"/>
    <w:rsid w:val="00D3421D"/>
    <w:rsid w:val="00D3569E"/>
    <w:rsid w:val="00D3723F"/>
    <w:rsid w:val="00D4041F"/>
    <w:rsid w:val="00D42BC1"/>
    <w:rsid w:val="00D4345A"/>
    <w:rsid w:val="00D443ED"/>
    <w:rsid w:val="00D46DA8"/>
    <w:rsid w:val="00D474D9"/>
    <w:rsid w:val="00D47E8D"/>
    <w:rsid w:val="00D51095"/>
    <w:rsid w:val="00D51C1D"/>
    <w:rsid w:val="00D5472B"/>
    <w:rsid w:val="00D551FD"/>
    <w:rsid w:val="00D56599"/>
    <w:rsid w:val="00D6003E"/>
    <w:rsid w:val="00D608A8"/>
    <w:rsid w:val="00D64C1C"/>
    <w:rsid w:val="00D6647A"/>
    <w:rsid w:val="00D672F1"/>
    <w:rsid w:val="00D67C57"/>
    <w:rsid w:val="00D70FE9"/>
    <w:rsid w:val="00D73457"/>
    <w:rsid w:val="00D73540"/>
    <w:rsid w:val="00D739C3"/>
    <w:rsid w:val="00D76CB0"/>
    <w:rsid w:val="00D80B5C"/>
    <w:rsid w:val="00D81EBC"/>
    <w:rsid w:val="00D83F4C"/>
    <w:rsid w:val="00D847FD"/>
    <w:rsid w:val="00D84D60"/>
    <w:rsid w:val="00D86D77"/>
    <w:rsid w:val="00D86ED8"/>
    <w:rsid w:val="00D87B85"/>
    <w:rsid w:val="00D90A1B"/>
    <w:rsid w:val="00D92862"/>
    <w:rsid w:val="00D9340A"/>
    <w:rsid w:val="00D96555"/>
    <w:rsid w:val="00D97189"/>
    <w:rsid w:val="00DA24A9"/>
    <w:rsid w:val="00DA520C"/>
    <w:rsid w:val="00DA7516"/>
    <w:rsid w:val="00DB06A8"/>
    <w:rsid w:val="00DB09E4"/>
    <w:rsid w:val="00DB123B"/>
    <w:rsid w:val="00DB271B"/>
    <w:rsid w:val="00DB582C"/>
    <w:rsid w:val="00DB67BE"/>
    <w:rsid w:val="00DB727D"/>
    <w:rsid w:val="00DB79C8"/>
    <w:rsid w:val="00DC18DD"/>
    <w:rsid w:val="00DC2048"/>
    <w:rsid w:val="00DC2FB1"/>
    <w:rsid w:val="00DC428D"/>
    <w:rsid w:val="00DC4959"/>
    <w:rsid w:val="00DC5C31"/>
    <w:rsid w:val="00DC60C7"/>
    <w:rsid w:val="00DC6A78"/>
    <w:rsid w:val="00DD026C"/>
    <w:rsid w:val="00DD0C87"/>
    <w:rsid w:val="00DE2DBB"/>
    <w:rsid w:val="00DE2F62"/>
    <w:rsid w:val="00DE342A"/>
    <w:rsid w:val="00DE3A86"/>
    <w:rsid w:val="00DE5CD0"/>
    <w:rsid w:val="00DE6BBA"/>
    <w:rsid w:val="00DE7FCA"/>
    <w:rsid w:val="00DF2EA5"/>
    <w:rsid w:val="00DF3459"/>
    <w:rsid w:val="00DF5C03"/>
    <w:rsid w:val="00DF7C4C"/>
    <w:rsid w:val="00E012DA"/>
    <w:rsid w:val="00E077E4"/>
    <w:rsid w:val="00E07ABD"/>
    <w:rsid w:val="00E12CEB"/>
    <w:rsid w:val="00E1352E"/>
    <w:rsid w:val="00E13687"/>
    <w:rsid w:val="00E171B0"/>
    <w:rsid w:val="00E2104E"/>
    <w:rsid w:val="00E2220E"/>
    <w:rsid w:val="00E25FC7"/>
    <w:rsid w:val="00E26005"/>
    <w:rsid w:val="00E30321"/>
    <w:rsid w:val="00E30A25"/>
    <w:rsid w:val="00E31A90"/>
    <w:rsid w:val="00E32935"/>
    <w:rsid w:val="00E33909"/>
    <w:rsid w:val="00E339F8"/>
    <w:rsid w:val="00E33D3C"/>
    <w:rsid w:val="00E34651"/>
    <w:rsid w:val="00E3476D"/>
    <w:rsid w:val="00E34D7C"/>
    <w:rsid w:val="00E34E38"/>
    <w:rsid w:val="00E3749F"/>
    <w:rsid w:val="00E40053"/>
    <w:rsid w:val="00E41234"/>
    <w:rsid w:val="00E42B21"/>
    <w:rsid w:val="00E451C3"/>
    <w:rsid w:val="00E47637"/>
    <w:rsid w:val="00E5036E"/>
    <w:rsid w:val="00E51C17"/>
    <w:rsid w:val="00E52AFD"/>
    <w:rsid w:val="00E53738"/>
    <w:rsid w:val="00E54AFB"/>
    <w:rsid w:val="00E559FC"/>
    <w:rsid w:val="00E56F2F"/>
    <w:rsid w:val="00E6109A"/>
    <w:rsid w:val="00E614F3"/>
    <w:rsid w:val="00E65120"/>
    <w:rsid w:val="00E65E36"/>
    <w:rsid w:val="00E667B4"/>
    <w:rsid w:val="00E66A33"/>
    <w:rsid w:val="00E67E7A"/>
    <w:rsid w:val="00E706CC"/>
    <w:rsid w:val="00E70AD1"/>
    <w:rsid w:val="00E70E32"/>
    <w:rsid w:val="00E7154F"/>
    <w:rsid w:val="00E74B25"/>
    <w:rsid w:val="00E80F5A"/>
    <w:rsid w:val="00E82EA3"/>
    <w:rsid w:val="00E84C3D"/>
    <w:rsid w:val="00E850DE"/>
    <w:rsid w:val="00E85E82"/>
    <w:rsid w:val="00E919B5"/>
    <w:rsid w:val="00E92A6C"/>
    <w:rsid w:val="00E92E01"/>
    <w:rsid w:val="00E93741"/>
    <w:rsid w:val="00E94E82"/>
    <w:rsid w:val="00E96D43"/>
    <w:rsid w:val="00EA1030"/>
    <w:rsid w:val="00EA2754"/>
    <w:rsid w:val="00EA2B5A"/>
    <w:rsid w:val="00EA4B12"/>
    <w:rsid w:val="00EA508F"/>
    <w:rsid w:val="00EA7375"/>
    <w:rsid w:val="00EA7CC1"/>
    <w:rsid w:val="00EB2240"/>
    <w:rsid w:val="00EB4551"/>
    <w:rsid w:val="00EB4FCB"/>
    <w:rsid w:val="00EC0280"/>
    <w:rsid w:val="00EC127F"/>
    <w:rsid w:val="00EC14C0"/>
    <w:rsid w:val="00EC2666"/>
    <w:rsid w:val="00EC2CBB"/>
    <w:rsid w:val="00EC4A38"/>
    <w:rsid w:val="00EC4C8D"/>
    <w:rsid w:val="00EC4DF3"/>
    <w:rsid w:val="00EC5F97"/>
    <w:rsid w:val="00EC62C9"/>
    <w:rsid w:val="00EC6766"/>
    <w:rsid w:val="00EC6877"/>
    <w:rsid w:val="00EC6F58"/>
    <w:rsid w:val="00EC715B"/>
    <w:rsid w:val="00EC7971"/>
    <w:rsid w:val="00ED34E0"/>
    <w:rsid w:val="00ED355C"/>
    <w:rsid w:val="00ED6DA7"/>
    <w:rsid w:val="00ED7944"/>
    <w:rsid w:val="00ED79F0"/>
    <w:rsid w:val="00EE0732"/>
    <w:rsid w:val="00EE0F6B"/>
    <w:rsid w:val="00EF0CA9"/>
    <w:rsid w:val="00EF33BB"/>
    <w:rsid w:val="00EF59D4"/>
    <w:rsid w:val="00EF5F7C"/>
    <w:rsid w:val="00EF6293"/>
    <w:rsid w:val="00EF6C35"/>
    <w:rsid w:val="00EF73FE"/>
    <w:rsid w:val="00EF7C6E"/>
    <w:rsid w:val="00F00DA6"/>
    <w:rsid w:val="00F05076"/>
    <w:rsid w:val="00F05BB8"/>
    <w:rsid w:val="00F06429"/>
    <w:rsid w:val="00F07027"/>
    <w:rsid w:val="00F10CF5"/>
    <w:rsid w:val="00F11857"/>
    <w:rsid w:val="00F11FC8"/>
    <w:rsid w:val="00F12262"/>
    <w:rsid w:val="00F1449B"/>
    <w:rsid w:val="00F147C5"/>
    <w:rsid w:val="00F159A4"/>
    <w:rsid w:val="00F15F8D"/>
    <w:rsid w:val="00F15FAF"/>
    <w:rsid w:val="00F22813"/>
    <w:rsid w:val="00F22AA8"/>
    <w:rsid w:val="00F24C45"/>
    <w:rsid w:val="00F258E0"/>
    <w:rsid w:val="00F272D1"/>
    <w:rsid w:val="00F27E73"/>
    <w:rsid w:val="00F311D3"/>
    <w:rsid w:val="00F31C40"/>
    <w:rsid w:val="00F3298A"/>
    <w:rsid w:val="00F3467D"/>
    <w:rsid w:val="00F34D81"/>
    <w:rsid w:val="00F35605"/>
    <w:rsid w:val="00F35F0A"/>
    <w:rsid w:val="00F369AE"/>
    <w:rsid w:val="00F40E5D"/>
    <w:rsid w:val="00F41386"/>
    <w:rsid w:val="00F427C7"/>
    <w:rsid w:val="00F43184"/>
    <w:rsid w:val="00F434CB"/>
    <w:rsid w:val="00F46CA9"/>
    <w:rsid w:val="00F51DDD"/>
    <w:rsid w:val="00F5224A"/>
    <w:rsid w:val="00F52DF1"/>
    <w:rsid w:val="00F555BD"/>
    <w:rsid w:val="00F5597C"/>
    <w:rsid w:val="00F55C4A"/>
    <w:rsid w:val="00F626A2"/>
    <w:rsid w:val="00F6421A"/>
    <w:rsid w:val="00F6443B"/>
    <w:rsid w:val="00F665D3"/>
    <w:rsid w:val="00F67DB5"/>
    <w:rsid w:val="00F7027C"/>
    <w:rsid w:val="00F70317"/>
    <w:rsid w:val="00F70844"/>
    <w:rsid w:val="00F71278"/>
    <w:rsid w:val="00F719A2"/>
    <w:rsid w:val="00F72997"/>
    <w:rsid w:val="00F7352D"/>
    <w:rsid w:val="00F73E16"/>
    <w:rsid w:val="00F742C4"/>
    <w:rsid w:val="00F76859"/>
    <w:rsid w:val="00F76F48"/>
    <w:rsid w:val="00F81CA5"/>
    <w:rsid w:val="00F821D8"/>
    <w:rsid w:val="00F8363D"/>
    <w:rsid w:val="00F84B8E"/>
    <w:rsid w:val="00F84C0D"/>
    <w:rsid w:val="00F85316"/>
    <w:rsid w:val="00F86191"/>
    <w:rsid w:val="00F861E1"/>
    <w:rsid w:val="00F86302"/>
    <w:rsid w:val="00F86C6C"/>
    <w:rsid w:val="00F912BA"/>
    <w:rsid w:val="00F91EB9"/>
    <w:rsid w:val="00F93F12"/>
    <w:rsid w:val="00F96044"/>
    <w:rsid w:val="00F96947"/>
    <w:rsid w:val="00FA02C6"/>
    <w:rsid w:val="00FA043F"/>
    <w:rsid w:val="00FA2172"/>
    <w:rsid w:val="00FA28E2"/>
    <w:rsid w:val="00FA329E"/>
    <w:rsid w:val="00FA32A2"/>
    <w:rsid w:val="00FA34FD"/>
    <w:rsid w:val="00FA3AC3"/>
    <w:rsid w:val="00FA476B"/>
    <w:rsid w:val="00FA7777"/>
    <w:rsid w:val="00FB33DB"/>
    <w:rsid w:val="00FB36F1"/>
    <w:rsid w:val="00FB4B96"/>
    <w:rsid w:val="00FB5AB3"/>
    <w:rsid w:val="00FB5AD5"/>
    <w:rsid w:val="00FB65C1"/>
    <w:rsid w:val="00FB6B05"/>
    <w:rsid w:val="00FB7821"/>
    <w:rsid w:val="00FC1FA9"/>
    <w:rsid w:val="00FC21FA"/>
    <w:rsid w:val="00FC240C"/>
    <w:rsid w:val="00FC489E"/>
    <w:rsid w:val="00FC4FE7"/>
    <w:rsid w:val="00FC60B2"/>
    <w:rsid w:val="00FC6CDD"/>
    <w:rsid w:val="00FC7991"/>
    <w:rsid w:val="00FD0E62"/>
    <w:rsid w:val="00FD1392"/>
    <w:rsid w:val="00FD224E"/>
    <w:rsid w:val="00FD475E"/>
    <w:rsid w:val="00FD4D8B"/>
    <w:rsid w:val="00FD634E"/>
    <w:rsid w:val="00FE0BB3"/>
    <w:rsid w:val="00FE1744"/>
    <w:rsid w:val="00FE2162"/>
    <w:rsid w:val="00FE2364"/>
    <w:rsid w:val="00FE4D67"/>
    <w:rsid w:val="00FE59A1"/>
    <w:rsid w:val="00FE5DD6"/>
    <w:rsid w:val="00FE6BE1"/>
    <w:rsid w:val="00FF21B1"/>
    <w:rsid w:val="00FF42D3"/>
    <w:rsid w:val="00FF590B"/>
    <w:rsid w:val="00FF67A0"/>
    <w:rsid w:val="00FF6967"/>
    <w:rsid w:val="0169082C"/>
    <w:rsid w:val="01942E5E"/>
    <w:rsid w:val="01995D09"/>
    <w:rsid w:val="021F159F"/>
    <w:rsid w:val="027421D4"/>
    <w:rsid w:val="02753E85"/>
    <w:rsid w:val="028E0A41"/>
    <w:rsid w:val="02A625B5"/>
    <w:rsid w:val="031852F2"/>
    <w:rsid w:val="033E36F9"/>
    <w:rsid w:val="03B65F25"/>
    <w:rsid w:val="03D94C2A"/>
    <w:rsid w:val="04530D15"/>
    <w:rsid w:val="05370E00"/>
    <w:rsid w:val="054A19C3"/>
    <w:rsid w:val="05A53FB4"/>
    <w:rsid w:val="05FA4CDA"/>
    <w:rsid w:val="05FE4192"/>
    <w:rsid w:val="067D77AC"/>
    <w:rsid w:val="06BA02BC"/>
    <w:rsid w:val="06D53145"/>
    <w:rsid w:val="072B5250"/>
    <w:rsid w:val="074B3407"/>
    <w:rsid w:val="079A613C"/>
    <w:rsid w:val="07C17D36"/>
    <w:rsid w:val="07F450F4"/>
    <w:rsid w:val="08083C30"/>
    <w:rsid w:val="08BB308F"/>
    <w:rsid w:val="08BC0A60"/>
    <w:rsid w:val="090553CE"/>
    <w:rsid w:val="090C50D4"/>
    <w:rsid w:val="09167F6A"/>
    <w:rsid w:val="093D5E0B"/>
    <w:rsid w:val="09520ED8"/>
    <w:rsid w:val="097906FF"/>
    <w:rsid w:val="09A57D25"/>
    <w:rsid w:val="0AAF1665"/>
    <w:rsid w:val="0ABF0394"/>
    <w:rsid w:val="0AC1420D"/>
    <w:rsid w:val="0B051E7E"/>
    <w:rsid w:val="0B172277"/>
    <w:rsid w:val="0B8604BB"/>
    <w:rsid w:val="0BA62447"/>
    <w:rsid w:val="0BA852CC"/>
    <w:rsid w:val="0BBA0B5B"/>
    <w:rsid w:val="0BC70A78"/>
    <w:rsid w:val="0BE64B54"/>
    <w:rsid w:val="0C14021F"/>
    <w:rsid w:val="0C313CC0"/>
    <w:rsid w:val="0C454647"/>
    <w:rsid w:val="0C704159"/>
    <w:rsid w:val="0CB067E8"/>
    <w:rsid w:val="0CB219D4"/>
    <w:rsid w:val="0D1C7D1F"/>
    <w:rsid w:val="0D2179C8"/>
    <w:rsid w:val="0D67410D"/>
    <w:rsid w:val="0DAB5180"/>
    <w:rsid w:val="0DAF64C2"/>
    <w:rsid w:val="0DBF4B4E"/>
    <w:rsid w:val="0DF36AFF"/>
    <w:rsid w:val="0E6F6748"/>
    <w:rsid w:val="0E8A43DF"/>
    <w:rsid w:val="0EFA4090"/>
    <w:rsid w:val="0F696B20"/>
    <w:rsid w:val="0F776AA9"/>
    <w:rsid w:val="0FAD066E"/>
    <w:rsid w:val="0FBA6BCE"/>
    <w:rsid w:val="1017657C"/>
    <w:rsid w:val="10600E7F"/>
    <w:rsid w:val="10831B95"/>
    <w:rsid w:val="108C1EAE"/>
    <w:rsid w:val="1125711A"/>
    <w:rsid w:val="118F3E9B"/>
    <w:rsid w:val="119A5AF1"/>
    <w:rsid w:val="122D01E9"/>
    <w:rsid w:val="12716791"/>
    <w:rsid w:val="12AB2BCC"/>
    <w:rsid w:val="12BC499C"/>
    <w:rsid w:val="13655909"/>
    <w:rsid w:val="138A75BA"/>
    <w:rsid w:val="13C44C6D"/>
    <w:rsid w:val="13D20E07"/>
    <w:rsid w:val="13F25085"/>
    <w:rsid w:val="14015CF6"/>
    <w:rsid w:val="14065285"/>
    <w:rsid w:val="14675A01"/>
    <w:rsid w:val="14D74878"/>
    <w:rsid w:val="14EC5133"/>
    <w:rsid w:val="14F61441"/>
    <w:rsid w:val="152E7C9D"/>
    <w:rsid w:val="153641D2"/>
    <w:rsid w:val="15B14D7D"/>
    <w:rsid w:val="15DB629E"/>
    <w:rsid w:val="15DE51A6"/>
    <w:rsid w:val="160579CD"/>
    <w:rsid w:val="160C6457"/>
    <w:rsid w:val="162F4443"/>
    <w:rsid w:val="16A232FB"/>
    <w:rsid w:val="16A92202"/>
    <w:rsid w:val="16B01AB1"/>
    <w:rsid w:val="170E0F8E"/>
    <w:rsid w:val="1713380D"/>
    <w:rsid w:val="1743234C"/>
    <w:rsid w:val="175C4F9D"/>
    <w:rsid w:val="175E2CE2"/>
    <w:rsid w:val="175F528F"/>
    <w:rsid w:val="178D2A71"/>
    <w:rsid w:val="179F0529"/>
    <w:rsid w:val="179F6E92"/>
    <w:rsid w:val="18104D99"/>
    <w:rsid w:val="18167A61"/>
    <w:rsid w:val="182B4763"/>
    <w:rsid w:val="182F1FA9"/>
    <w:rsid w:val="183459F1"/>
    <w:rsid w:val="18A64941"/>
    <w:rsid w:val="18B2778A"/>
    <w:rsid w:val="18B31317"/>
    <w:rsid w:val="18CC6AA1"/>
    <w:rsid w:val="18DE241C"/>
    <w:rsid w:val="19151BA4"/>
    <w:rsid w:val="1A1E4DB0"/>
    <w:rsid w:val="1A4C267A"/>
    <w:rsid w:val="1A604FC3"/>
    <w:rsid w:val="1A640659"/>
    <w:rsid w:val="1A7573D0"/>
    <w:rsid w:val="1A963B14"/>
    <w:rsid w:val="1AC27F61"/>
    <w:rsid w:val="1B000ED6"/>
    <w:rsid w:val="1B1D54BA"/>
    <w:rsid w:val="1B1E22ED"/>
    <w:rsid w:val="1B487F31"/>
    <w:rsid w:val="1BDA4B50"/>
    <w:rsid w:val="1BF52A8F"/>
    <w:rsid w:val="1C522596"/>
    <w:rsid w:val="1C695629"/>
    <w:rsid w:val="1C92116A"/>
    <w:rsid w:val="1C944FDC"/>
    <w:rsid w:val="1CA60CCC"/>
    <w:rsid w:val="1CC10196"/>
    <w:rsid w:val="1CD92E4A"/>
    <w:rsid w:val="1CFA48A1"/>
    <w:rsid w:val="1D117EAB"/>
    <w:rsid w:val="1DAB5448"/>
    <w:rsid w:val="1DC04CF2"/>
    <w:rsid w:val="1E0D111F"/>
    <w:rsid w:val="1E546F94"/>
    <w:rsid w:val="1E5F5409"/>
    <w:rsid w:val="1EFA7794"/>
    <w:rsid w:val="1F1A3995"/>
    <w:rsid w:val="1F2C146C"/>
    <w:rsid w:val="1F380E7F"/>
    <w:rsid w:val="1F4B4F23"/>
    <w:rsid w:val="1F4E3003"/>
    <w:rsid w:val="1FCA1C6D"/>
    <w:rsid w:val="1FEF6ACD"/>
    <w:rsid w:val="20143EB1"/>
    <w:rsid w:val="205407C9"/>
    <w:rsid w:val="206C0298"/>
    <w:rsid w:val="20AD6799"/>
    <w:rsid w:val="20EF1079"/>
    <w:rsid w:val="215440E3"/>
    <w:rsid w:val="21AD6FB8"/>
    <w:rsid w:val="22340F25"/>
    <w:rsid w:val="22543660"/>
    <w:rsid w:val="229202C3"/>
    <w:rsid w:val="229D2661"/>
    <w:rsid w:val="22BA300B"/>
    <w:rsid w:val="22C32935"/>
    <w:rsid w:val="22FB7F7F"/>
    <w:rsid w:val="23213EEF"/>
    <w:rsid w:val="23481A4A"/>
    <w:rsid w:val="23641D14"/>
    <w:rsid w:val="236C6C42"/>
    <w:rsid w:val="23E12E62"/>
    <w:rsid w:val="23F669F7"/>
    <w:rsid w:val="240510B5"/>
    <w:rsid w:val="247955FF"/>
    <w:rsid w:val="25024F43"/>
    <w:rsid w:val="256164D1"/>
    <w:rsid w:val="257B3224"/>
    <w:rsid w:val="257B3ACD"/>
    <w:rsid w:val="259326F1"/>
    <w:rsid w:val="259D3EB5"/>
    <w:rsid w:val="25F018F1"/>
    <w:rsid w:val="260B453C"/>
    <w:rsid w:val="262E74BF"/>
    <w:rsid w:val="266B787D"/>
    <w:rsid w:val="26745297"/>
    <w:rsid w:val="26D953AE"/>
    <w:rsid w:val="26FB22FC"/>
    <w:rsid w:val="271E4031"/>
    <w:rsid w:val="273F4D42"/>
    <w:rsid w:val="27610B3C"/>
    <w:rsid w:val="280244DD"/>
    <w:rsid w:val="286E5392"/>
    <w:rsid w:val="287E4F92"/>
    <w:rsid w:val="28CD6914"/>
    <w:rsid w:val="28DB0252"/>
    <w:rsid w:val="29324E83"/>
    <w:rsid w:val="2934498A"/>
    <w:rsid w:val="29D46AFB"/>
    <w:rsid w:val="29F14388"/>
    <w:rsid w:val="2A1262DA"/>
    <w:rsid w:val="2A924DF2"/>
    <w:rsid w:val="2ADB491E"/>
    <w:rsid w:val="2B0B4AD7"/>
    <w:rsid w:val="2B127CCC"/>
    <w:rsid w:val="2B403690"/>
    <w:rsid w:val="2B836D64"/>
    <w:rsid w:val="2B980470"/>
    <w:rsid w:val="2B9918A5"/>
    <w:rsid w:val="2BAB4349"/>
    <w:rsid w:val="2BCF4E89"/>
    <w:rsid w:val="2C230203"/>
    <w:rsid w:val="2CB03F70"/>
    <w:rsid w:val="2D032B3F"/>
    <w:rsid w:val="2D1F486A"/>
    <w:rsid w:val="2D66469D"/>
    <w:rsid w:val="2DDD46AB"/>
    <w:rsid w:val="2E7A14F3"/>
    <w:rsid w:val="2E951288"/>
    <w:rsid w:val="2EBE6476"/>
    <w:rsid w:val="2EDD6DFF"/>
    <w:rsid w:val="2F1A7EA6"/>
    <w:rsid w:val="2F212B1B"/>
    <w:rsid w:val="2F3B5E57"/>
    <w:rsid w:val="2F7FE7B1"/>
    <w:rsid w:val="2FB120F1"/>
    <w:rsid w:val="2FDD4C94"/>
    <w:rsid w:val="300D67B5"/>
    <w:rsid w:val="301B57BD"/>
    <w:rsid w:val="3064040F"/>
    <w:rsid w:val="308C1782"/>
    <w:rsid w:val="30CD0E4F"/>
    <w:rsid w:val="30D77936"/>
    <w:rsid w:val="30DC20C5"/>
    <w:rsid w:val="30F677F7"/>
    <w:rsid w:val="317D150F"/>
    <w:rsid w:val="31973569"/>
    <w:rsid w:val="31B827E0"/>
    <w:rsid w:val="31DE1711"/>
    <w:rsid w:val="320D712B"/>
    <w:rsid w:val="32678635"/>
    <w:rsid w:val="32DC131D"/>
    <w:rsid w:val="32E8294E"/>
    <w:rsid w:val="32F815F0"/>
    <w:rsid w:val="33530319"/>
    <w:rsid w:val="337A55EA"/>
    <w:rsid w:val="33AA3BD3"/>
    <w:rsid w:val="33F91F6E"/>
    <w:rsid w:val="33FB7298"/>
    <w:rsid w:val="342A15B7"/>
    <w:rsid w:val="34B16837"/>
    <w:rsid w:val="351D5273"/>
    <w:rsid w:val="352D5415"/>
    <w:rsid w:val="35386C3E"/>
    <w:rsid w:val="354237EC"/>
    <w:rsid w:val="358913F6"/>
    <w:rsid w:val="36280E5F"/>
    <w:rsid w:val="36376705"/>
    <w:rsid w:val="36766284"/>
    <w:rsid w:val="36CE5A1E"/>
    <w:rsid w:val="36DB2F90"/>
    <w:rsid w:val="36FC1B19"/>
    <w:rsid w:val="36FD79CA"/>
    <w:rsid w:val="376876F9"/>
    <w:rsid w:val="37847E6B"/>
    <w:rsid w:val="379825E6"/>
    <w:rsid w:val="37EA2DD8"/>
    <w:rsid w:val="380D74D3"/>
    <w:rsid w:val="38371E1A"/>
    <w:rsid w:val="383C633A"/>
    <w:rsid w:val="38501F48"/>
    <w:rsid w:val="385A029D"/>
    <w:rsid w:val="38AF2F46"/>
    <w:rsid w:val="396933B6"/>
    <w:rsid w:val="39930ABA"/>
    <w:rsid w:val="39B91F92"/>
    <w:rsid w:val="3A264665"/>
    <w:rsid w:val="3A5E2E76"/>
    <w:rsid w:val="3A6141E5"/>
    <w:rsid w:val="3A747FD1"/>
    <w:rsid w:val="3A954C6B"/>
    <w:rsid w:val="3ABA3E61"/>
    <w:rsid w:val="3AD4138A"/>
    <w:rsid w:val="3AF15FEF"/>
    <w:rsid w:val="3AF66D4D"/>
    <w:rsid w:val="3B147AB8"/>
    <w:rsid w:val="3B1747E8"/>
    <w:rsid w:val="3B2F1699"/>
    <w:rsid w:val="3B4436E4"/>
    <w:rsid w:val="3B541666"/>
    <w:rsid w:val="3B7364AD"/>
    <w:rsid w:val="3BBD1E1E"/>
    <w:rsid w:val="3BBF08D6"/>
    <w:rsid w:val="3BFE4F72"/>
    <w:rsid w:val="3C202F97"/>
    <w:rsid w:val="3C2C5C46"/>
    <w:rsid w:val="3C6B7ACC"/>
    <w:rsid w:val="3CAF5C0A"/>
    <w:rsid w:val="3CEC54B4"/>
    <w:rsid w:val="3D7B0B93"/>
    <w:rsid w:val="3DA86A21"/>
    <w:rsid w:val="3DCB46BB"/>
    <w:rsid w:val="3E0713D5"/>
    <w:rsid w:val="3E406A15"/>
    <w:rsid w:val="3E4E0AC4"/>
    <w:rsid w:val="3E7A30F7"/>
    <w:rsid w:val="3E983A09"/>
    <w:rsid w:val="3EB5502E"/>
    <w:rsid w:val="3ED80F27"/>
    <w:rsid w:val="3F7942AE"/>
    <w:rsid w:val="3FC306F2"/>
    <w:rsid w:val="3FF4420E"/>
    <w:rsid w:val="40073668"/>
    <w:rsid w:val="402D7572"/>
    <w:rsid w:val="40832B18"/>
    <w:rsid w:val="40F30A5A"/>
    <w:rsid w:val="41083B3B"/>
    <w:rsid w:val="410C1887"/>
    <w:rsid w:val="41207F53"/>
    <w:rsid w:val="412C2362"/>
    <w:rsid w:val="42145E76"/>
    <w:rsid w:val="427A34F7"/>
    <w:rsid w:val="42B7650A"/>
    <w:rsid w:val="42C331A3"/>
    <w:rsid w:val="42DA21EC"/>
    <w:rsid w:val="43122A4F"/>
    <w:rsid w:val="43391425"/>
    <w:rsid w:val="433C0FD0"/>
    <w:rsid w:val="43436B07"/>
    <w:rsid w:val="435A4404"/>
    <w:rsid w:val="43774A93"/>
    <w:rsid w:val="43A83EE9"/>
    <w:rsid w:val="44474473"/>
    <w:rsid w:val="444C1F91"/>
    <w:rsid w:val="44762759"/>
    <w:rsid w:val="447C32E4"/>
    <w:rsid w:val="45104F1F"/>
    <w:rsid w:val="458B693A"/>
    <w:rsid w:val="45A547C4"/>
    <w:rsid w:val="45AF1331"/>
    <w:rsid w:val="45C66145"/>
    <w:rsid w:val="461E3EF8"/>
    <w:rsid w:val="46392ED7"/>
    <w:rsid w:val="463F1DAD"/>
    <w:rsid w:val="469E0050"/>
    <w:rsid w:val="46E91290"/>
    <w:rsid w:val="471D0165"/>
    <w:rsid w:val="477C46F4"/>
    <w:rsid w:val="47B47B3D"/>
    <w:rsid w:val="47CA5A9B"/>
    <w:rsid w:val="47E7563A"/>
    <w:rsid w:val="48313382"/>
    <w:rsid w:val="485766E5"/>
    <w:rsid w:val="488B10A3"/>
    <w:rsid w:val="48AE0742"/>
    <w:rsid w:val="492139EC"/>
    <w:rsid w:val="49526B8D"/>
    <w:rsid w:val="49A330DF"/>
    <w:rsid w:val="49D40A5E"/>
    <w:rsid w:val="49F0308C"/>
    <w:rsid w:val="4A0E41EA"/>
    <w:rsid w:val="4A465405"/>
    <w:rsid w:val="4B2A7F28"/>
    <w:rsid w:val="4BA353E1"/>
    <w:rsid w:val="4BD964EF"/>
    <w:rsid w:val="4D0E6D0A"/>
    <w:rsid w:val="4D1F404B"/>
    <w:rsid w:val="4D4F55DF"/>
    <w:rsid w:val="4D9275F9"/>
    <w:rsid w:val="4DB82445"/>
    <w:rsid w:val="4DFA077B"/>
    <w:rsid w:val="4DFC07CB"/>
    <w:rsid w:val="4E281379"/>
    <w:rsid w:val="4F2E52F4"/>
    <w:rsid w:val="4F562E03"/>
    <w:rsid w:val="4FAD7F37"/>
    <w:rsid w:val="50404315"/>
    <w:rsid w:val="50636185"/>
    <w:rsid w:val="506F45B9"/>
    <w:rsid w:val="50867BE1"/>
    <w:rsid w:val="50BA49D8"/>
    <w:rsid w:val="50E06EBB"/>
    <w:rsid w:val="50EB2DB6"/>
    <w:rsid w:val="51206427"/>
    <w:rsid w:val="513677A7"/>
    <w:rsid w:val="51C040F2"/>
    <w:rsid w:val="51FA127E"/>
    <w:rsid w:val="52423158"/>
    <w:rsid w:val="52650DED"/>
    <w:rsid w:val="52BF774F"/>
    <w:rsid w:val="53075763"/>
    <w:rsid w:val="5325387A"/>
    <w:rsid w:val="53336F43"/>
    <w:rsid w:val="534103F4"/>
    <w:rsid w:val="53512AEC"/>
    <w:rsid w:val="538F63F9"/>
    <w:rsid w:val="53D8500A"/>
    <w:rsid w:val="53EF1046"/>
    <w:rsid w:val="54087F93"/>
    <w:rsid w:val="54093EF7"/>
    <w:rsid w:val="540B7773"/>
    <w:rsid w:val="54260581"/>
    <w:rsid w:val="54267606"/>
    <w:rsid w:val="54353EBD"/>
    <w:rsid w:val="5461625B"/>
    <w:rsid w:val="548D4774"/>
    <w:rsid w:val="54E104D3"/>
    <w:rsid w:val="5582279B"/>
    <w:rsid w:val="55A34560"/>
    <w:rsid w:val="55BB2AD2"/>
    <w:rsid w:val="56046BB8"/>
    <w:rsid w:val="567D4325"/>
    <w:rsid w:val="569412D9"/>
    <w:rsid w:val="56E1222F"/>
    <w:rsid w:val="56E35B5E"/>
    <w:rsid w:val="56E524FD"/>
    <w:rsid w:val="578A06F6"/>
    <w:rsid w:val="578C4030"/>
    <w:rsid w:val="57DD31D4"/>
    <w:rsid w:val="5864046A"/>
    <w:rsid w:val="586C7B9B"/>
    <w:rsid w:val="58953AAF"/>
    <w:rsid w:val="58AA6296"/>
    <w:rsid w:val="58FA064D"/>
    <w:rsid w:val="5939268C"/>
    <w:rsid w:val="5943175D"/>
    <w:rsid w:val="595023DF"/>
    <w:rsid w:val="597845DE"/>
    <w:rsid w:val="5980140C"/>
    <w:rsid w:val="5988767A"/>
    <w:rsid w:val="59934492"/>
    <w:rsid w:val="59C2168F"/>
    <w:rsid w:val="59C83A10"/>
    <w:rsid w:val="59F90CC7"/>
    <w:rsid w:val="5A97449C"/>
    <w:rsid w:val="5AC93EE4"/>
    <w:rsid w:val="5B1B52A1"/>
    <w:rsid w:val="5B23480F"/>
    <w:rsid w:val="5B4F1852"/>
    <w:rsid w:val="5B781624"/>
    <w:rsid w:val="5BA34735"/>
    <w:rsid w:val="5BD66836"/>
    <w:rsid w:val="5BE06573"/>
    <w:rsid w:val="5CED210B"/>
    <w:rsid w:val="5CF5ED95"/>
    <w:rsid w:val="5CFA4499"/>
    <w:rsid w:val="5D1B5D1E"/>
    <w:rsid w:val="5E08715B"/>
    <w:rsid w:val="5E7F0DE4"/>
    <w:rsid w:val="5EA536B1"/>
    <w:rsid w:val="5F081AA9"/>
    <w:rsid w:val="5F311D50"/>
    <w:rsid w:val="5F337678"/>
    <w:rsid w:val="5F966995"/>
    <w:rsid w:val="5F9A6886"/>
    <w:rsid w:val="5F9E76ED"/>
    <w:rsid w:val="5FD96977"/>
    <w:rsid w:val="5FEF6385"/>
    <w:rsid w:val="606062F7"/>
    <w:rsid w:val="608F34D9"/>
    <w:rsid w:val="60CE4002"/>
    <w:rsid w:val="60DA5B6C"/>
    <w:rsid w:val="614918DA"/>
    <w:rsid w:val="615F7391"/>
    <w:rsid w:val="61973808"/>
    <w:rsid w:val="61F30033"/>
    <w:rsid w:val="620D00C3"/>
    <w:rsid w:val="6215730A"/>
    <w:rsid w:val="626D2A9D"/>
    <w:rsid w:val="627B2B1F"/>
    <w:rsid w:val="62DE5968"/>
    <w:rsid w:val="630F445E"/>
    <w:rsid w:val="638147C2"/>
    <w:rsid w:val="638F3552"/>
    <w:rsid w:val="63B35731"/>
    <w:rsid w:val="63EC0484"/>
    <w:rsid w:val="63F7702D"/>
    <w:rsid w:val="643423CE"/>
    <w:rsid w:val="64793F00"/>
    <w:rsid w:val="648C220A"/>
    <w:rsid w:val="64B87C60"/>
    <w:rsid w:val="651F290B"/>
    <w:rsid w:val="65200BA4"/>
    <w:rsid w:val="656E5DB3"/>
    <w:rsid w:val="659F0B5B"/>
    <w:rsid w:val="65A70636"/>
    <w:rsid w:val="66111F9F"/>
    <w:rsid w:val="66501015"/>
    <w:rsid w:val="667E3DD4"/>
    <w:rsid w:val="668D5A58"/>
    <w:rsid w:val="669E4517"/>
    <w:rsid w:val="66C67529"/>
    <w:rsid w:val="66DF4ECA"/>
    <w:rsid w:val="671B3D04"/>
    <w:rsid w:val="672405DD"/>
    <w:rsid w:val="674D696D"/>
    <w:rsid w:val="676E7640"/>
    <w:rsid w:val="677C7C36"/>
    <w:rsid w:val="678F0EE4"/>
    <w:rsid w:val="67AB72C0"/>
    <w:rsid w:val="67B63E9F"/>
    <w:rsid w:val="67C7335E"/>
    <w:rsid w:val="67D81546"/>
    <w:rsid w:val="67DA14DE"/>
    <w:rsid w:val="67F00D18"/>
    <w:rsid w:val="68442E28"/>
    <w:rsid w:val="685B7696"/>
    <w:rsid w:val="68B00744"/>
    <w:rsid w:val="68D0724C"/>
    <w:rsid w:val="68F54EED"/>
    <w:rsid w:val="69031BC1"/>
    <w:rsid w:val="69287950"/>
    <w:rsid w:val="69373CE2"/>
    <w:rsid w:val="697C11C5"/>
    <w:rsid w:val="69F024B8"/>
    <w:rsid w:val="6A6978C6"/>
    <w:rsid w:val="6A7602F3"/>
    <w:rsid w:val="6AC025ED"/>
    <w:rsid w:val="6AC32919"/>
    <w:rsid w:val="6AED32D6"/>
    <w:rsid w:val="6AFC5C0F"/>
    <w:rsid w:val="6C5A2BED"/>
    <w:rsid w:val="6C8B2133"/>
    <w:rsid w:val="6CB56FE0"/>
    <w:rsid w:val="6D136A7A"/>
    <w:rsid w:val="6D4D61F3"/>
    <w:rsid w:val="6DBF6D9D"/>
    <w:rsid w:val="6DD762FF"/>
    <w:rsid w:val="6DE5215B"/>
    <w:rsid w:val="6E0856D5"/>
    <w:rsid w:val="6E162246"/>
    <w:rsid w:val="6E1702B6"/>
    <w:rsid w:val="6EDC33E3"/>
    <w:rsid w:val="6F0D30B9"/>
    <w:rsid w:val="6F10126E"/>
    <w:rsid w:val="6F852130"/>
    <w:rsid w:val="6FA45904"/>
    <w:rsid w:val="6FEFF6BA"/>
    <w:rsid w:val="70243602"/>
    <w:rsid w:val="70860455"/>
    <w:rsid w:val="70883E72"/>
    <w:rsid w:val="70E80403"/>
    <w:rsid w:val="71192D04"/>
    <w:rsid w:val="71195536"/>
    <w:rsid w:val="715543E4"/>
    <w:rsid w:val="718577B5"/>
    <w:rsid w:val="71A15FFE"/>
    <w:rsid w:val="71ED1C76"/>
    <w:rsid w:val="723914F7"/>
    <w:rsid w:val="72BB27B2"/>
    <w:rsid w:val="72C708B1"/>
    <w:rsid w:val="732B09F9"/>
    <w:rsid w:val="733A1241"/>
    <w:rsid w:val="734C55DD"/>
    <w:rsid w:val="736557E6"/>
    <w:rsid w:val="739E2F74"/>
    <w:rsid w:val="73B376F6"/>
    <w:rsid w:val="73CD6F4E"/>
    <w:rsid w:val="73FD961C"/>
    <w:rsid w:val="742D6CD7"/>
    <w:rsid w:val="744523D5"/>
    <w:rsid w:val="7448340C"/>
    <w:rsid w:val="744B48EC"/>
    <w:rsid w:val="74583DCC"/>
    <w:rsid w:val="745D7266"/>
    <w:rsid w:val="74614A86"/>
    <w:rsid w:val="748E01CD"/>
    <w:rsid w:val="74A91D23"/>
    <w:rsid w:val="758201CC"/>
    <w:rsid w:val="75C806A2"/>
    <w:rsid w:val="75FE7F38"/>
    <w:rsid w:val="7608123D"/>
    <w:rsid w:val="760F645A"/>
    <w:rsid w:val="76114C78"/>
    <w:rsid w:val="76401C80"/>
    <w:rsid w:val="769F0296"/>
    <w:rsid w:val="76C2749E"/>
    <w:rsid w:val="76F4355D"/>
    <w:rsid w:val="77770AF7"/>
    <w:rsid w:val="77E51F05"/>
    <w:rsid w:val="781E68CF"/>
    <w:rsid w:val="7845162D"/>
    <w:rsid w:val="78E4623D"/>
    <w:rsid w:val="792F738D"/>
    <w:rsid w:val="793547C6"/>
    <w:rsid w:val="798902D8"/>
    <w:rsid w:val="798A42B2"/>
    <w:rsid w:val="79CA6B69"/>
    <w:rsid w:val="79D74D79"/>
    <w:rsid w:val="79E1128D"/>
    <w:rsid w:val="79ED6E4F"/>
    <w:rsid w:val="79F04B91"/>
    <w:rsid w:val="7A03656F"/>
    <w:rsid w:val="7A3A2512"/>
    <w:rsid w:val="7A3A2845"/>
    <w:rsid w:val="7AAB0B58"/>
    <w:rsid w:val="7AB647FC"/>
    <w:rsid w:val="7AC027B5"/>
    <w:rsid w:val="7AC83ACA"/>
    <w:rsid w:val="7B1B3A34"/>
    <w:rsid w:val="7B7D7BC3"/>
    <w:rsid w:val="7B8362BE"/>
    <w:rsid w:val="7C0A15B8"/>
    <w:rsid w:val="7C0B2946"/>
    <w:rsid w:val="7C173E6A"/>
    <w:rsid w:val="7C896BD7"/>
    <w:rsid w:val="7C9932BE"/>
    <w:rsid w:val="7CCF78A9"/>
    <w:rsid w:val="7CD06E4E"/>
    <w:rsid w:val="7CE8354F"/>
    <w:rsid w:val="7CF3605A"/>
    <w:rsid w:val="7D6E1CD2"/>
    <w:rsid w:val="7DAC7021"/>
    <w:rsid w:val="7DBD2FDC"/>
    <w:rsid w:val="7DD763EB"/>
    <w:rsid w:val="7DE32772"/>
    <w:rsid w:val="7DE362F9"/>
    <w:rsid w:val="7EB92414"/>
    <w:rsid w:val="7EC860DC"/>
    <w:rsid w:val="7EFFAD29"/>
    <w:rsid w:val="7F1365EC"/>
    <w:rsid w:val="7F1B7FBA"/>
    <w:rsid w:val="7F8D2EB9"/>
    <w:rsid w:val="7F96EDBD"/>
    <w:rsid w:val="7FB1091F"/>
    <w:rsid w:val="7FC34036"/>
    <w:rsid w:val="7FDBAE2A"/>
    <w:rsid w:val="7FE3196C"/>
    <w:rsid w:val="8A7C5334"/>
    <w:rsid w:val="973FC17F"/>
    <w:rsid w:val="B5DFD28F"/>
    <w:rsid w:val="B5FFF1FF"/>
    <w:rsid w:val="BD371D8F"/>
    <w:rsid w:val="BFEDEF16"/>
    <w:rsid w:val="C7F5464A"/>
    <w:rsid w:val="EFF3E0DF"/>
    <w:rsid w:val="F3679F8F"/>
    <w:rsid w:val="F5FFFCD6"/>
    <w:rsid w:val="F9EB890D"/>
    <w:rsid w:val="FAEC67A2"/>
    <w:rsid w:val="FB333197"/>
    <w:rsid w:val="FBEED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1"/>
    <w:qFormat/>
    <w:uiPriority w:val="0"/>
    <w:pPr>
      <w:jc w:val="left"/>
    </w:pPr>
  </w:style>
  <w:style w:type="paragraph" w:styleId="3">
    <w:name w:val="endnote text"/>
    <w:basedOn w:val="1"/>
    <w:qFormat/>
    <w:uiPriority w:val="0"/>
    <w:pPr>
      <w:snapToGrid w:val="0"/>
      <w:jc w:val="left"/>
    </w:pPr>
  </w:style>
  <w:style w:type="paragraph" w:styleId="4">
    <w:name w:val="Balloon Text"/>
    <w:basedOn w:val="1"/>
    <w:link w:val="22"/>
    <w:qFormat/>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link w:val="31"/>
    <w:qFormat/>
    <w:uiPriority w:val="39"/>
  </w:style>
  <w:style w:type="paragraph" w:styleId="8">
    <w:name w:val="footnote text"/>
    <w:basedOn w:val="1"/>
    <w:link w:val="28"/>
    <w:qFormat/>
    <w:uiPriority w:val="0"/>
    <w:pPr>
      <w:snapToGrid w:val="0"/>
      <w:jc w:val="left"/>
    </w:pPr>
    <w:rPr>
      <w:sz w:val="18"/>
    </w:rPr>
  </w:style>
  <w:style w:type="paragraph" w:styleId="9">
    <w:name w:val="toc 2"/>
    <w:basedOn w:val="1"/>
    <w:next w:val="1"/>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annotation subject"/>
    <w:basedOn w:val="2"/>
    <w:next w:val="2"/>
    <w:link w:val="23"/>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rPr>
  </w:style>
  <w:style w:type="character" w:styleId="16">
    <w:name w:val="endnote reference"/>
    <w:basedOn w:val="14"/>
    <w:qFormat/>
    <w:uiPriority w:val="0"/>
    <w:rPr>
      <w:vertAlign w:val="superscript"/>
    </w:rPr>
  </w:style>
  <w:style w:type="character" w:styleId="17">
    <w:name w:val="page number"/>
    <w:qFormat/>
    <w:uiPriority w:val="0"/>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styleId="20">
    <w:name w:val="footnote reference"/>
    <w:basedOn w:val="14"/>
    <w:qFormat/>
    <w:uiPriority w:val="0"/>
    <w:rPr>
      <w:vertAlign w:val="superscript"/>
    </w:rPr>
  </w:style>
  <w:style w:type="character" w:customStyle="1" w:styleId="21">
    <w:name w:val="批注文字 字符"/>
    <w:link w:val="2"/>
    <w:qFormat/>
    <w:uiPriority w:val="0"/>
    <w:rPr>
      <w:kern w:val="2"/>
      <w:sz w:val="21"/>
      <w:szCs w:val="24"/>
    </w:rPr>
  </w:style>
  <w:style w:type="character" w:customStyle="1" w:styleId="22">
    <w:name w:val="批注框文本 字符"/>
    <w:link w:val="4"/>
    <w:qFormat/>
    <w:uiPriority w:val="0"/>
    <w:rPr>
      <w:kern w:val="2"/>
      <w:sz w:val="18"/>
      <w:szCs w:val="18"/>
    </w:rPr>
  </w:style>
  <w:style w:type="character" w:customStyle="1" w:styleId="23">
    <w:name w:val="批注主题 字符"/>
    <w:link w:val="11"/>
    <w:qFormat/>
    <w:uiPriority w:val="0"/>
    <w:rPr>
      <w:b/>
      <w:bCs/>
      <w:kern w:val="2"/>
      <w:sz w:val="21"/>
      <w:szCs w:val="24"/>
    </w:rPr>
  </w:style>
  <w:style w:type="paragraph" w:customStyle="1" w:styleId="24">
    <w:name w:val="正文-公1"/>
    <w:basedOn w:val="1"/>
    <w:next w:val="1"/>
    <w:qFormat/>
    <w:uiPriority w:val="0"/>
    <w:pPr>
      <w:ind w:firstLine="200" w:firstLineChars="200"/>
      <w:jc w:val="left"/>
    </w:pPr>
    <w:rPr>
      <w:rFonts w:eastAsia="仿宋_GB2312"/>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7">
    <w:name w:val="cf01"/>
    <w:qFormat/>
    <w:uiPriority w:val="0"/>
    <w:rPr>
      <w:rFonts w:hint="eastAsia" w:ascii="Microsoft YaHei UI" w:hAnsi="Microsoft YaHei UI" w:eastAsia="Microsoft YaHei UI"/>
      <w:sz w:val="18"/>
      <w:szCs w:val="18"/>
    </w:rPr>
  </w:style>
  <w:style w:type="character" w:customStyle="1" w:styleId="28">
    <w:name w:val="脚注文本 字符"/>
    <w:basedOn w:val="14"/>
    <w:link w:val="8"/>
    <w:qFormat/>
    <w:uiPriority w:val="0"/>
    <w:rPr>
      <w:kern w:val="2"/>
      <w:sz w:val="18"/>
      <w:szCs w:val="24"/>
    </w:rPr>
  </w:style>
  <w:style w:type="paragraph" w:customStyle="1" w:styleId="29">
    <w:name w:val="Default"/>
    <w:qFormat/>
    <w:uiPriority w:val="0"/>
    <w:pPr>
      <w:widowControl w:val="0"/>
      <w:autoSpaceDE w:val="0"/>
      <w:autoSpaceDN w:val="0"/>
      <w:adjustRightInd w:val="0"/>
    </w:pPr>
    <w:rPr>
      <w:rFonts w:ascii="宋体" w:hAnsi="Arial Rounded MT Bold" w:eastAsia="宋体" w:cs="宋体"/>
      <w:color w:val="000000"/>
      <w:sz w:val="24"/>
      <w:szCs w:val="24"/>
      <w:lang w:val="en-US" w:eastAsia="zh-CN" w:bidi="ar-SA"/>
    </w:rPr>
  </w:style>
  <w:style w:type="paragraph" w:styleId="30">
    <w:name w:val="List Paragraph"/>
    <w:basedOn w:val="1"/>
    <w:qFormat/>
    <w:uiPriority w:val="99"/>
    <w:pPr>
      <w:ind w:firstLine="420" w:firstLineChars="200"/>
    </w:pPr>
  </w:style>
  <w:style w:type="character" w:customStyle="1" w:styleId="31">
    <w:name w:val="TOC 1 字符"/>
    <w:link w:val="7"/>
    <w:qFormat/>
    <w:uiPriority w:val="39"/>
  </w:style>
  <w:style w:type="paragraph" w:customStyle="1" w:styleId="32">
    <w:name w:val="p1"/>
    <w:basedOn w:val="1"/>
    <w:qFormat/>
    <w:uiPriority w:val="0"/>
    <w:pPr>
      <w:jc w:val="left"/>
    </w:pPr>
    <w:rPr>
      <w:rFonts w:ascii="PingFang SC" w:hAnsi="PingFang SC" w:eastAsia="PingFang SC"/>
      <w:color w:val="000000"/>
      <w:kern w:val="0"/>
      <w:sz w:val="28"/>
      <w:szCs w:val="28"/>
    </w:rPr>
  </w:style>
  <w:style w:type="character" w:customStyle="1" w:styleId="33">
    <w:name w:val="s1"/>
    <w:basedOn w:val="14"/>
    <w:qFormat/>
    <w:uiPriority w:val="0"/>
    <w:rPr>
      <w:rFonts w:ascii="Helvetica Neue" w:hAnsi="Helvetica Neue" w:eastAsia="Helvetica Neue" w:cs="Helvetica Neue"/>
      <w:sz w:val="28"/>
      <w:szCs w:val="28"/>
    </w:rPr>
  </w:style>
  <w:style w:type="character" w:customStyle="1" w:styleId="34">
    <w:name w:val="s2"/>
    <w:basedOn w:val="14"/>
    <w:qFormat/>
    <w:uiPriority w:val="0"/>
    <w:rPr>
      <w:rFonts w:hint="default" w:ascii="Helvetica Neue" w:hAnsi="Helvetica Neue" w:eastAsia="Helvetica Neue" w:cs="Helvetica Neue"/>
      <w:sz w:val="28"/>
      <w:szCs w:val="28"/>
    </w:rPr>
  </w:style>
  <w:style w:type="paragraph" w:customStyle="1" w:styleId="35">
    <w:name w:val="p2"/>
    <w:basedOn w:val="1"/>
    <w:qFormat/>
    <w:uiPriority w:val="0"/>
    <w:pPr>
      <w:jc w:val="left"/>
    </w:pPr>
    <w:rPr>
      <w:rFonts w:hint="eastAsia" w:ascii="PingFang SC" w:hAnsi="PingFang SC" w:eastAsia="PingFang SC"/>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63004F-D3C2-4928-B0EE-E28D7678217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5875</Words>
  <Characters>6191</Characters>
  <Lines>200</Lines>
  <Paragraphs>126</Paragraphs>
  <TotalTime>570</TotalTime>
  <ScaleCrop>false</ScaleCrop>
  <LinksUpToDate>false</LinksUpToDate>
  <CharactersWithSpaces>6295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2024-06-04T01:39:00Z</dcterms:created>
  <dc:creator>Administrator</dc:creator>
  <cp:lastModifiedBy>小笼包</cp:lastModifiedBy>
  <cp:lastPrinted>2023-12-19T15:45:00Z</cp:lastPrinted>
  <dcterms:modified xsi:type="dcterms:W3CDTF">2025-09-11T08:53:56Z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19A5F143A38D4634A33469B3930C8C13_13</vt:lpwstr>
  </property>
  <property fmtid="{D5CDD505-2E9C-101B-9397-08002B2CF9AE}" pid="4" name="KSOTemplateDocerSaveRecord">
    <vt:lpwstr>eyJoZGlkIjoiOGU2ZWY2NGQ4YWZjMjVhMzBkN2YwODNlZWFiOWIxMzgiLCJ1c2VySWQiOiIyNzExNzE3MDgifQ==</vt:lpwstr>
  </property>
</Properties>
</file>