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2AEBF">
      <w:pPr>
        <w:jc w:val="center"/>
        <w:rPr>
          <w:rFonts w:hint="eastAsia" w:ascii="黑体" w:hAnsi="黑体" w:eastAsia="黑体"/>
          <w:sz w:val="48"/>
          <w:szCs w:val="48"/>
        </w:rPr>
      </w:pPr>
    </w:p>
    <w:p w14:paraId="1226CE2D">
      <w:pPr>
        <w:jc w:val="center"/>
        <w:rPr>
          <w:rFonts w:hint="eastAsia" w:ascii="黑体" w:hAnsi="黑体" w:eastAsia="黑体"/>
          <w:sz w:val="48"/>
          <w:szCs w:val="48"/>
        </w:rPr>
      </w:pPr>
    </w:p>
    <w:p w14:paraId="75C04054">
      <w:pPr>
        <w:jc w:val="center"/>
        <w:rPr>
          <w:rFonts w:hint="eastAsia" w:ascii="黑体" w:hAnsi="黑体" w:eastAsia="黑体"/>
          <w:sz w:val="48"/>
          <w:szCs w:val="48"/>
        </w:rPr>
      </w:pPr>
    </w:p>
    <w:p w14:paraId="6B70C841">
      <w:pPr>
        <w:jc w:val="center"/>
        <w:rPr>
          <w:rFonts w:hint="eastAsia" w:ascii="黑体" w:hAnsi="黑体" w:eastAsia="黑体"/>
          <w:sz w:val="48"/>
          <w:szCs w:val="48"/>
        </w:rPr>
      </w:pPr>
      <w:r>
        <w:rPr>
          <w:rFonts w:ascii="黑体" w:hAnsi="黑体" w:eastAsia="黑体"/>
          <w:sz w:val="48"/>
          <w:szCs w:val="48"/>
        </w:rPr>
        <w:t>溧阳市</w:t>
      </w:r>
      <w:r>
        <w:rPr>
          <w:rFonts w:hint="eastAsia" w:ascii="黑体" w:hAnsi="黑体" w:eastAsia="黑体"/>
          <w:sz w:val="48"/>
          <w:szCs w:val="48"/>
          <w:lang w:eastAsia="zh-CN"/>
        </w:rPr>
        <w:t>2026-03号</w:t>
      </w:r>
      <w:r>
        <w:rPr>
          <w:rFonts w:ascii="黑体" w:hAnsi="黑体" w:eastAsia="黑体"/>
          <w:sz w:val="48"/>
          <w:szCs w:val="48"/>
        </w:rPr>
        <w:t>土地征收</w:t>
      </w:r>
    </w:p>
    <w:p w14:paraId="60BF5BA0">
      <w:pPr>
        <w:jc w:val="center"/>
      </w:pPr>
      <w:r>
        <w:rPr>
          <w:rFonts w:ascii="黑体" w:hAnsi="黑体" w:eastAsia="黑体"/>
          <w:sz w:val="48"/>
          <w:szCs w:val="48"/>
        </w:rPr>
        <w:t>成片开发方案</w:t>
      </w:r>
    </w:p>
    <w:p w14:paraId="282AE643">
      <w:pPr>
        <w:widowControl/>
        <w:jc w:val="center"/>
        <w:rPr>
          <w:rFonts w:hint="eastAsia" w:ascii="楷体" w:hAnsi="楷体" w:eastAsia="楷体"/>
          <w:sz w:val="36"/>
          <w:szCs w:val="36"/>
        </w:rPr>
      </w:pPr>
      <w:r>
        <w:rPr>
          <w:rFonts w:ascii="楷体" w:hAnsi="楷体" w:eastAsia="楷体"/>
          <w:sz w:val="36"/>
          <w:szCs w:val="36"/>
        </w:rPr>
        <w:t>（征求意见稿）</w:t>
      </w:r>
    </w:p>
    <w:p w14:paraId="10D069B7">
      <w:pPr>
        <w:widowControl/>
        <w:jc w:val="center"/>
        <w:rPr>
          <w:rFonts w:hint="eastAsia" w:ascii="楷体" w:hAnsi="楷体" w:eastAsia="楷体"/>
          <w:sz w:val="36"/>
          <w:szCs w:val="36"/>
        </w:rPr>
      </w:pPr>
    </w:p>
    <w:p w14:paraId="26744F00">
      <w:pPr>
        <w:widowControl/>
        <w:jc w:val="center"/>
        <w:rPr>
          <w:rFonts w:hint="eastAsia" w:ascii="楷体" w:hAnsi="楷体" w:eastAsia="楷体"/>
          <w:sz w:val="36"/>
          <w:szCs w:val="36"/>
        </w:rPr>
      </w:pPr>
    </w:p>
    <w:p w14:paraId="57076B58">
      <w:pPr>
        <w:widowControl/>
        <w:jc w:val="center"/>
        <w:rPr>
          <w:rFonts w:hint="eastAsia" w:ascii="楷体" w:hAnsi="楷体" w:eastAsia="楷体"/>
          <w:sz w:val="36"/>
          <w:szCs w:val="36"/>
        </w:rPr>
      </w:pPr>
    </w:p>
    <w:p w14:paraId="52ADFF96">
      <w:pPr>
        <w:widowControl/>
        <w:jc w:val="center"/>
        <w:rPr>
          <w:rFonts w:hint="eastAsia" w:ascii="楷体" w:hAnsi="楷体" w:eastAsia="楷体"/>
          <w:sz w:val="36"/>
          <w:szCs w:val="36"/>
        </w:rPr>
      </w:pPr>
    </w:p>
    <w:p w14:paraId="7832F78E">
      <w:pPr>
        <w:widowControl/>
        <w:jc w:val="center"/>
        <w:rPr>
          <w:rFonts w:hint="eastAsia" w:ascii="楷体" w:hAnsi="楷体" w:eastAsia="楷体"/>
          <w:sz w:val="36"/>
          <w:szCs w:val="36"/>
        </w:rPr>
      </w:pPr>
    </w:p>
    <w:p w14:paraId="564FE929">
      <w:pPr>
        <w:widowControl/>
        <w:jc w:val="center"/>
        <w:rPr>
          <w:rFonts w:hint="eastAsia" w:ascii="楷体" w:hAnsi="楷体" w:eastAsia="楷体"/>
          <w:sz w:val="36"/>
          <w:szCs w:val="36"/>
        </w:rPr>
      </w:pPr>
    </w:p>
    <w:p w14:paraId="52B0BD5C">
      <w:pPr>
        <w:widowControl/>
        <w:jc w:val="center"/>
        <w:rPr>
          <w:rFonts w:hint="eastAsia" w:ascii="楷体" w:hAnsi="楷体" w:eastAsia="楷体"/>
          <w:sz w:val="36"/>
          <w:szCs w:val="36"/>
        </w:rPr>
      </w:pPr>
    </w:p>
    <w:p w14:paraId="615D48BD">
      <w:pPr>
        <w:widowControl/>
        <w:jc w:val="center"/>
        <w:rPr>
          <w:rFonts w:hint="eastAsia" w:ascii="楷体" w:hAnsi="楷体" w:eastAsia="楷体"/>
          <w:sz w:val="36"/>
          <w:szCs w:val="36"/>
        </w:rPr>
      </w:pPr>
    </w:p>
    <w:p w14:paraId="52BC5E17">
      <w:pPr>
        <w:widowControl/>
        <w:jc w:val="center"/>
        <w:rPr>
          <w:rFonts w:hint="eastAsia" w:ascii="楷体" w:hAnsi="楷体" w:eastAsia="楷体"/>
          <w:sz w:val="36"/>
          <w:szCs w:val="36"/>
        </w:rPr>
      </w:pPr>
    </w:p>
    <w:p w14:paraId="1F72739F">
      <w:pPr>
        <w:widowControl/>
        <w:jc w:val="center"/>
        <w:rPr>
          <w:rFonts w:hint="eastAsia" w:ascii="楷体" w:hAnsi="楷体" w:eastAsia="楷体"/>
          <w:sz w:val="36"/>
          <w:szCs w:val="36"/>
        </w:rPr>
      </w:pPr>
    </w:p>
    <w:p w14:paraId="04CA5762">
      <w:pPr>
        <w:widowControl/>
        <w:jc w:val="center"/>
        <w:rPr>
          <w:rFonts w:hint="eastAsia" w:ascii="楷体" w:hAnsi="楷体" w:eastAsia="楷体"/>
          <w:sz w:val="36"/>
          <w:szCs w:val="36"/>
        </w:rPr>
      </w:pPr>
    </w:p>
    <w:p w14:paraId="6186FC0D">
      <w:pPr>
        <w:widowControl/>
        <w:jc w:val="center"/>
        <w:rPr>
          <w:rFonts w:hint="eastAsia" w:ascii="楷体" w:hAnsi="楷体" w:eastAsia="楷体"/>
          <w:sz w:val="36"/>
          <w:szCs w:val="36"/>
        </w:rPr>
      </w:pPr>
    </w:p>
    <w:p w14:paraId="12807A6F">
      <w:pPr>
        <w:widowControl/>
        <w:jc w:val="center"/>
        <w:rPr>
          <w:rFonts w:eastAsia="宋体"/>
          <w:sz w:val="32"/>
          <w:szCs w:val="36"/>
        </w:rPr>
      </w:pPr>
      <w:r>
        <w:rPr>
          <w:rFonts w:hint="eastAsia" w:eastAsia="宋体"/>
          <w:sz w:val="32"/>
          <w:szCs w:val="36"/>
        </w:rPr>
        <w:t>溧阳市人民政府</w:t>
      </w:r>
    </w:p>
    <w:p w14:paraId="65E5A387">
      <w:pPr>
        <w:widowControl/>
        <w:jc w:val="center"/>
        <w:rPr>
          <w:rFonts w:eastAsia="宋体"/>
          <w:sz w:val="32"/>
          <w:szCs w:val="36"/>
        </w:rPr>
      </w:pPr>
      <w:r>
        <w:rPr>
          <w:rFonts w:hint="eastAsia" w:eastAsia="宋体"/>
          <w:sz w:val="32"/>
          <w:szCs w:val="36"/>
        </w:rPr>
        <w:t>202</w:t>
      </w:r>
      <w:r>
        <w:rPr>
          <w:rFonts w:hint="eastAsia" w:eastAsia="宋体"/>
          <w:sz w:val="32"/>
          <w:szCs w:val="36"/>
          <w:lang w:val="en-US" w:eastAsia="zh-CN"/>
        </w:rPr>
        <w:t>6</w:t>
      </w:r>
      <w:r>
        <w:rPr>
          <w:rFonts w:hint="eastAsia" w:eastAsia="宋体"/>
          <w:sz w:val="32"/>
          <w:szCs w:val="36"/>
        </w:rPr>
        <w:t>年</w:t>
      </w:r>
      <w:r>
        <w:rPr>
          <w:rFonts w:hint="eastAsia" w:eastAsia="宋体"/>
          <w:sz w:val="32"/>
          <w:szCs w:val="36"/>
          <w:lang w:val="en-US" w:eastAsia="zh-CN"/>
        </w:rPr>
        <w:t>1</w:t>
      </w:r>
      <w:r>
        <w:rPr>
          <w:rFonts w:hint="eastAsia" w:eastAsia="宋体"/>
          <w:sz w:val="32"/>
          <w:szCs w:val="36"/>
        </w:rPr>
        <w:t>月</w:t>
      </w:r>
    </w:p>
    <w:p w14:paraId="35BF5C84">
      <w:pPr>
        <w:widowControl/>
        <w:jc w:val="left"/>
        <w:rPr>
          <w:rFonts w:eastAsia="宋体"/>
          <w:sz w:val="32"/>
          <w:szCs w:val="36"/>
        </w:rPr>
        <w:sectPr>
          <w:footerReference r:id="rId3" w:type="default"/>
          <w:type w:val="continuous"/>
          <w:pgSz w:w="11906" w:h="16838"/>
          <w:pgMar w:top="1440" w:right="1800" w:bottom="1440" w:left="1800" w:header="851" w:footer="992" w:gutter="0"/>
          <w:cols w:space="425" w:num="1"/>
          <w:docGrid w:type="lines" w:linePitch="312" w:charSpace="0"/>
        </w:sectPr>
      </w:pPr>
    </w:p>
    <w:p w14:paraId="094D1211">
      <w:pPr>
        <w:pStyle w:val="4"/>
        <w:spacing w:line="418" w:lineRule="auto"/>
        <w:ind w:firstLine="600" w:firstLineChars="200"/>
        <w:jc w:val="both"/>
        <w:rPr>
          <w:rFonts w:ascii="Times New Roman" w:hAnsi="Times New Roman" w:eastAsia="仿宋_GB2312" w:cs="Times New Roman"/>
          <w:kern w:val="2"/>
          <w:sz w:val="30"/>
          <w:szCs w:val="30"/>
          <w:lang w:val="en-US" w:bidi="ar-SA"/>
        </w:rPr>
      </w:pPr>
      <w:r>
        <w:rPr>
          <w:rFonts w:hint="eastAsia" w:ascii="Times New Roman" w:hAnsi="Times New Roman" w:eastAsia="仿宋_GB2312" w:cs="Times New Roman"/>
          <w:kern w:val="2"/>
          <w:sz w:val="30"/>
          <w:szCs w:val="30"/>
          <w:lang w:val="en-US" w:bidi="ar-SA"/>
        </w:rPr>
        <w:t>为满足城市发展用地需求，规范征地程序，保障被征地农民合法权益，根据《中华人民共和国土地管理法》（2019年修正）、《自然资源部关于印发&lt;土地征收成片开发标准&gt;的通知》（自然资规〔2023〕7号）、《江苏省自然资源厅关于开展土地征收成片开发方案编制工作的通知》（苏自然资函〔20</w:t>
      </w:r>
      <w:r>
        <w:rPr>
          <w:rFonts w:hint="eastAsia" w:ascii="Times New Roman" w:hAnsi="Times New Roman" w:eastAsia="仿宋_GB2312" w:cs="Times New Roman"/>
          <w:sz w:val="30"/>
          <w:szCs w:val="30"/>
        </w:rPr>
        <w:t>21〕15号）、</w:t>
      </w:r>
      <w:r>
        <w:rPr>
          <w:rFonts w:ascii="Times New Roman" w:hAnsi="Times New Roman" w:eastAsia="仿宋_GB2312" w:cs="Times New Roman"/>
          <w:sz w:val="30"/>
          <w:szCs w:val="30"/>
        </w:rPr>
        <w:t>《江苏省自然资源厅关于</w:t>
      </w:r>
      <w:r>
        <w:rPr>
          <w:rFonts w:hint="eastAsia" w:ascii="Times New Roman" w:hAnsi="Times New Roman" w:eastAsia="仿宋_GB2312" w:cs="Times New Roman"/>
          <w:sz w:val="30"/>
          <w:szCs w:val="30"/>
        </w:rPr>
        <w:t>加快推进</w:t>
      </w:r>
      <w:r>
        <w:rPr>
          <w:rFonts w:ascii="Times New Roman" w:hAnsi="Times New Roman" w:eastAsia="仿宋_GB2312" w:cs="Times New Roman"/>
          <w:sz w:val="30"/>
          <w:szCs w:val="30"/>
        </w:rPr>
        <w:t>土地征收成片开发方案编制工作的通知》（苏自然资</w:t>
      </w:r>
      <w:r>
        <w:rPr>
          <w:rFonts w:hint="eastAsia" w:ascii="Times New Roman" w:hAnsi="Times New Roman" w:eastAsia="仿宋_GB2312" w:cs="Times New Roman"/>
          <w:sz w:val="30"/>
          <w:szCs w:val="30"/>
        </w:rPr>
        <w:t>发</w:t>
      </w:r>
      <w:r>
        <w:rPr>
          <w:rFonts w:ascii="Times New Roman" w:hAnsi="Times New Roman" w:eastAsia="仿宋_GB2312" w:cs="Times New Roman"/>
          <w:sz w:val="30"/>
          <w:szCs w:val="30"/>
        </w:rPr>
        <w:t>〔2021〕</w:t>
      </w:r>
      <w:r>
        <w:rPr>
          <w:rFonts w:hint="eastAsia" w:ascii="Times New Roman" w:hAnsi="Times New Roman" w:eastAsia="仿宋_GB2312" w:cs="Times New Roman"/>
          <w:sz w:val="30"/>
          <w:szCs w:val="30"/>
        </w:rPr>
        <w:t>138</w:t>
      </w:r>
      <w:r>
        <w:rPr>
          <w:rFonts w:ascii="Times New Roman" w:hAnsi="Times New Roman" w:eastAsia="仿宋_GB2312" w:cs="Times New Roman"/>
          <w:sz w:val="30"/>
          <w:szCs w:val="30"/>
        </w:rPr>
        <w:t>号）</w:t>
      </w:r>
      <w:r>
        <w:rPr>
          <w:rFonts w:hint="eastAsia" w:ascii="Times New Roman" w:hAnsi="Times New Roman" w:eastAsia="仿宋_GB2312" w:cs="Times New Roman"/>
          <w:sz w:val="30"/>
          <w:szCs w:val="30"/>
        </w:rPr>
        <w:t>、《省政府关于印发江苏省被征地农民社会保障办法的通知》（苏政发〔</w:t>
      </w:r>
      <w:r>
        <w:rPr>
          <w:rFonts w:ascii="Times New Roman" w:hAnsi="Times New Roman" w:eastAsia="仿宋_GB2312" w:cs="Times New Roman"/>
          <w:sz w:val="30"/>
          <w:szCs w:val="30"/>
        </w:rPr>
        <w:t>2021〕87号）</w:t>
      </w:r>
      <w:r>
        <w:rPr>
          <w:rFonts w:hint="eastAsia" w:ascii="Times New Roman" w:hAnsi="Times New Roman" w:eastAsia="仿宋_GB2312" w:cs="Times New Roman"/>
          <w:sz w:val="30"/>
          <w:szCs w:val="30"/>
        </w:rPr>
        <w:t>、《江苏省自然资源厅关于深入推进土地征收成片开发方案编制工作的通知》</w:t>
      </w:r>
      <w:r>
        <w:rPr>
          <w:rFonts w:ascii="Times New Roman" w:hAnsi="Times New Roman" w:eastAsia="仿宋_GB2312" w:cs="Times New Roman"/>
          <w:sz w:val="30"/>
          <w:szCs w:val="30"/>
        </w:rPr>
        <w:t>（苏自然资</w:t>
      </w:r>
      <w:r>
        <w:rPr>
          <w:rFonts w:hint="eastAsia" w:ascii="Times New Roman" w:hAnsi="Times New Roman" w:eastAsia="仿宋_GB2312" w:cs="Times New Roman"/>
          <w:sz w:val="30"/>
          <w:szCs w:val="30"/>
        </w:rPr>
        <w:t>函</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rPr>
        <w:t>24</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939</w:t>
      </w:r>
      <w:r>
        <w:rPr>
          <w:rFonts w:ascii="Times New Roman" w:hAnsi="Times New Roman" w:eastAsia="仿宋_GB2312" w:cs="Times New Roman"/>
          <w:sz w:val="30"/>
          <w:szCs w:val="30"/>
        </w:rPr>
        <w:t>号）</w:t>
      </w:r>
      <w:r>
        <w:rPr>
          <w:rFonts w:hint="eastAsia" w:ascii="Times New Roman" w:hAnsi="Times New Roman" w:eastAsia="仿宋_GB2312" w:cs="Times New Roman"/>
          <w:sz w:val="30"/>
          <w:szCs w:val="30"/>
        </w:rPr>
        <w:t>、《市政府办公室关于开展常州市土地征收成片开发方案编制报批工作的通知》（常政办发〔2021〕113号）和《市政府关于重新公布常州市所辖各县（市、区）征地区片综合地价执行标准的通知》（常政规〔2023〕6号）等政策规定，溧阳市人民政府委托溧阳市自然资源和规划局</w:t>
      </w:r>
      <w:r>
        <w:rPr>
          <w:rFonts w:hint="eastAsia" w:ascii="Times New Roman" w:hAnsi="Times New Roman" w:eastAsia="仿宋_GB2312" w:cs="Times New Roman"/>
          <w:kern w:val="2"/>
          <w:sz w:val="30"/>
          <w:szCs w:val="30"/>
          <w:lang w:val="en-US" w:bidi="ar-SA"/>
        </w:rPr>
        <w:t>组织编制了《溧阳市</w:t>
      </w:r>
      <w:r>
        <w:rPr>
          <w:rFonts w:hint="eastAsia" w:ascii="Times New Roman" w:hAnsi="Times New Roman" w:eastAsia="仿宋_GB2312" w:cs="Times New Roman"/>
          <w:kern w:val="2"/>
          <w:sz w:val="30"/>
          <w:szCs w:val="30"/>
          <w:lang w:val="en-US" w:eastAsia="zh-CN" w:bidi="ar-SA"/>
        </w:rPr>
        <w:t>2026-03号</w:t>
      </w:r>
      <w:r>
        <w:rPr>
          <w:rFonts w:hint="eastAsia" w:ascii="Times New Roman" w:hAnsi="Times New Roman" w:eastAsia="仿宋_GB2312" w:cs="Times New Roman"/>
          <w:kern w:val="2"/>
          <w:sz w:val="30"/>
          <w:szCs w:val="30"/>
          <w:lang w:val="en-US" w:bidi="ar-SA"/>
        </w:rPr>
        <w:t>土地征收成片开发方案（征求意见稿）》。现公示如下：</w:t>
      </w:r>
    </w:p>
    <w:p w14:paraId="6CBACF0B">
      <w:pPr>
        <w:jc w:val="left"/>
        <w:outlineLvl w:val="0"/>
        <w:rPr>
          <w:rFonts w:hint="eastAsia" w:ascii="黑体" w:hAnsi="黑体" w:eastAsia="黑体" w:cs="黑体"/>
          <w:sz w:val="32"/>
          <w:szCs w:val="32"/>
        </w:rPr>
      </w:pPr>
      <w:r>
        <w:rPr>
          <w:rFonts w:hint="eastAsia" w:ascii="黑体" w:hAnsi="黑体" w:eastAsia="黑体" w:cs="黑体"/>
          <w:sz w:val="32"/>
          <w:szCs w:val="32"/>
        </w:rPr>
        <w:t>一、片区基本情况</w:t>
      </w:r>
    </w:p>
    <w:p w14:paraId="55A5D407">
      <w:pPr>
        <w:ind w:firstLine="600" w:firstLineChars="200"/>
        <w:rPr>
          <w:rFonts w:cs="Times New Roman"/>
          <w:szCs w:val="30"/>
        </w:rPr>
        <w:sectPr>
          <w:pgSz w:w="11906" w:h="16838"/>
          <w:pgMar w:top="1440" w:right="1800" w:bottom="1440" w:left="1800" w:header="851" w:footer="992" w:gutter="0"/>
          <w:cols w:space="425" w:num="1"/>
          <w:docGrid w:type="lines" w:linePitch="312" w:charSpace="0"/>
        </w:sectPr>
      </w:pPr>
      <w:r>
        <w:rPr>
          <w:rFonts w:hint="eastAsia" w:cs="Times New Roman"/>
          <w:szCs w:val="30"/>
          <w:lang w:val="en-US" w:eastAsia="zh-CN"/>
        </w:rPr>
        <w:t>本方案涉及</w:t>
      </w:r>
      <w:r>
        <w:rPr>
          <w:rFonts w:hint="eastAsia" w:cs="Times New Roman"/>
          <w:szCs w:val="30"/>
        </w:rPr>
        <w:t>溧阳市</w:t>
      </w:r>
      <w:r>
        <w:rPr>
          <w:rFonts w:hint="eastAsia" w:cs="Times New Roman"/>
          <w:szCs w:val="30"/>
          <w:lang w:val="en-US" w:eastAsia="zh-CN"/>
        </w:rPr>
        <w:t>上兴镇、竹箦镇，共1个片区，为工业主导型片区，片区范围总面积为166.4017</w:t>
      </w:r>
      <w:r>
        <w:rPr>
          <w:rFonts w:hint="eastAsia" w:cs="Times New Roman"/>
          <w:szCs w:val="30"/>
        </w:rPr>
        <w:t>公顷</w:t>
      </w:r>
      <w:r>
        <w:rPr>
          <w:rFonts w:cs="Times New Roman"/>
          <w:szCs w:val="30"/>
        </w:rPr>
        <w:t>（</w:t>
      </w:r>
      <w:r>
        <w:rPr>
          <w:rFonts w:hint="eastAsia" w:cs="Times New Roman"/>
          <w:szCs w:val="30"/>
        </w:rPr>
        <w:t>成片开发范围及面积以最终批复为准</w:t>
      </w:r>
      <w:r>
        <w:rPr>
          <w:rFonts w:cs="Times New Roman"/>
          <w:szCs w:val="30"/>
        </w:rPr>
        <w:t>）</w:t>
      </w:r>
      <w:r>
        <w:rPr>
          <w:rFonts w:hint="eastAsia" w:cs="Times New Roman"/>
          <w:szCs w:val="30"/>
        </w:rPr>
        <w:t>。</w:t>
      </w:r>
      <w:r>
        <w:rPr>
          <w:rFonts w:cs="Times New Roman"/>
          <w:szCs w:val="30"/>
        </w:rPr>
        <w:t>具体用地情况详见表1-1。</w:t>
      </w:r>
    </w:p>
    <w:p w14:paraId="55C3F446">
      <w:pPr>
        <w:pStyle w:val="4"/>
        <w:spacing w:before="156" w:beforeLines="50" w:after="156" w:afterLines="50" w:line="420" w:lineRule="exact"/>
        <w:jc w:val="center"/>
        <w:rPr>
          <w:rFonts w:ascii="Times New Roman" w:hAnsi="Times New Roman" w:eastAsia="仿宋_GB2312" w:cs="Times New Roman"/>
          <w:b/>
        </w:rPr>
      </w:pPr>
      <w:r>
        <w:rPr>
          <w:rFonts w:ascii="Times New Roman" w:hAnsi="Times New Roman" w:eastAsia="仿宋_GB2312" w:cs="Times New Roman"/>
          <w:b/>
        </w:rPr>
        <w:t>表1-1</w:t>
      </w:r>
      <w:r>
        <w:rPr>
          <w:rFonts w:hint="eastAsia" w:ascii="Times New Roman" w:hAnsi="Times New Roman" w:eastAsia="仿宋_GB2312" w:cs="Times New Roman"/>
          <w:b/>
        </w:rPr>
        <w:t xml:space="preserve"> </w:t>
      </w:r>
      <w:r>
        <w:rPr>
          <w:rFonts w:hint="eastAsia" w:ascii="Times New Roman" w:hAnsi="Times New Roman" w:eastAsia="仿宋_GB2312" w:cs="Times New Roman"/>
          <w:b/>
          <w:lang w:val="en-US" w:eastAsia="zh-CN"/>
        </w:rPr>
        <w:t>溧阳市土地征收成片开发</w:t>
      </w:r>
      <w:r>
        <w:rPr>
          <w:rFonts w:ascii="Times New Roman" w:hAnsi="Times New Roman" w:eastAsia="仿宋_GB2312" w:cs="Times New Roman"/>
          <w:b/>
        </w:rPr>
        <w:t>片区面积表</w:t>
      </w:r>
      <w:r>
        <w:rPr>
          <w:rFonts w:hint="eastAsia" w:ascii="Times New Roman" w:hAnsi="Times New Roman" w:eastAsia="仿宋_GB2312" w:cs="Times New Roman"/>
          <w:b/>
        </w:rPr>
        <w:t>（单位：公顷）</w:t>
      </w:r>
    </w:p>
    <w:tbl>
      <w:tblPr>
        <w:tblStyle w:val="11"/>
        <w:tblW w:w="57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6"/>
        <w:gridCol w:w="2799"/>
        <w:gridCol w:w="3278"/>
        <w:gridCol w:w="1517"/>
      </w:tblGrid>
      <w:tr w14:paraId="2932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3" w:type="pct"/>
            <w:vMerge w:val="restart"/>
            <w:shd w:val="clear" w:color="auto" w:fill="auto"/>
            <w:noWrap/>
            <w:vAlign w:val="center"/>
          </w:tcPr>
          <w:p w14:paraId="597EF233">
            <w:pPr>
              <w:jc w:val="center"/>
              <w:rPr>
                <w:sz w:val="28"/>
                <w:szCs w:val="28"/>
              </w:rPr>
            </w:pPr>
            <w:r>
              <w:rPr>
                <w:rFonts w:hint="eastAsia"/>
                <w:sz w:val="28"/>
                <w:szCs w:val="28"/>
              </w:rPr>
              <w:t>镇/街道</w:t>
            </w:r>
          </w:p>
        </w:tc>
        <w:tc>
          <w:tcPr>
            <w:tcW w:w="1432" w:type="pct"/>
            <w:vMerge w:val="restart"/>
            <w:shd w:val="clear" w:color="auto" w:fill="auto"/>
            <w:noWrap/>
            <w:vAlign w:val="center"/>
          </w:tcPr>
          <w:p w14:paraId="761E8762">
            <w:pPr>
              <w:jc w:val="center"/>
              <w:rPr>
                <w:sz w:val="28"/>
                <w:szCs w:val="28"/>
              </w:rPr>
            </w:pPr>
            <w:r>
              <w:rPr>
                <w:rFonts w:hint="eastAsia"/>
                <w:sz w:val="28"/>
                <w:szCs w:val="28"/>
              </w:rPr>
              <w:t>片区编号</w:t>
            </w:r>
          </w:p>
        </w:tc>
        <w:tc>
          <w:tcPr>
            <w:tcW w:w="1677" w:type="pct"/>
            <w:vMerge w:val="restart"/>
            <w:shd w:val="clear" w:color="auto" w:fill="auto"/>
            <w:noWrap/>
            <w:vAlign w:val="center"/>
          </w:tcPr>
          <w:p w14:paraId="0C3CBA48">
            <w:pPr>
              <w:jc w:val="center"/>
              <w:rPr>
                <w:sz w:val="28"/>
                <w:szCs w:val="28"/>
              </w:rPr>
            </w:pPr>
            <w:r>
              <w:rPr>
                <w:rFonts w:hint="eastAsia"/>
                <w:sz w:val="28"/>
                <w:szCs w:val="28"/>
              </w:rPr>
              <w:t>片区名称</w:t>
            </w:r>
          </w:p>
        </w:tc>
        <w:tc>
          <w:tcPr>
            <w:tcW w:w="776" w:type="pct"/>
            <w:vMerge w:val="restart"/>
            <w:shd w:val="clear" w:color="auto" w:fill="auto"/>
            <w:vAlign w:val="center"/>
          </w:tcPr>
          <w:p w14:paraId="10C3236B">
            <w:pPr>
              <w:jc w:val="center"/>
              <w:rPr>
                <w:sz w:val="28"/>
                <w:szCs w:val="28"/>
              </w:rPr>
            </w:pPr>
            <w:r>
              <w:rPr>
                <w:rFonts w:hint="eastAsia"/>
                <w:sz w:val="28"/>
                <w:szCs w:val="28"/>
              </w:rPr>
              <w:t>片区总面积</w:t>
            </w:r>
          </w:p>
        </w:tc>
      </w:tr>
      <w:tr w14:paraId="7026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3" w:type="pct"/>
            <w:vMerge w:val="continue"/>
            <w:vAlign w:val="center"/>
          </w:tcPr>
          <w:p w14:paraId="0E01A035">
            <w:pPr>
              <w:jc w:val="center"/>
              <w:rPr>
                <w:sz w:val="28"/>
                <w:szCs w:val="28"/>
              </w:rPr>
            </w:pPr>
          </w:p>
        </w:tc>
        <w:tc>
          <w:tcPr>
            <w:tcW w:w="1432" w:type="pct"/>
            <w:vMerge w:val="continue"/>
            <w:vAlign w:val="center"/>
          </w:tcPr>
          <w:p w14:paraId="6F6BCF4B">
            <w:pPr>
              <w:jc w:val="center"/>
              <w:rPr>
                <w:sz w:val="28"/>
                <w:szCs w:val="28"/>
              </w:rPr>
            </w:pPr>
          </w:p>
        </w:tc>
        <w:tc>
          <w:tcPr>
            <w:tcW w:w="1677" w:type="pct"/>
            <w:vMerge w:val="continue"/>
            <w:vAlign w:val="center"/>
          </w:tcPr>
          <w:p w14:paraId="15FC5960">
            <w:pPr>
              <w:jc w:val="center"/>
              <w:rPr>
                <w:sz w:val="28"/>
                <w:szCs w:val="28"/>
              </w:rPr>
            </w:pPr>
          </w:p>
        </w:tc>
        <w:tc>
          <w:tcPr>
            <w:tcW w:w="776" w:type="pct"/>
            <w:vMerge w:val="continue"/>
            <w:vAlign w:val="center"/>
          </w:tcPr>
          <w:p w14:paraId="0CFD655C">
            <w:pPr>
              <w:jc w:val="center"/>
              <w:rPr>
                <w:sz w:val="28"/>
                <w:szCs w:val="28"/>
              </w:rPr>
            </w:pPr>
          </w:p>
        </w:tc>
      </w:tr>
      <w:tr w14:paraId="625D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pct"/>
            <w:shd w:val="clear" w:color="auto" w:fill="auto"/>
            <w:noWrap/>
            <w:vAlign w:val="center"/>
          </w:tcPr>
          <w:p w14:paraId="0534314A">
            <w:pPr>
              <w:jc w:val="center"/>
              <w:rPr>
                <w:rFonts w:hint="default" w:eastAsia="仿宋_GB2312"/>
                <w:sz w:val="28"/>
                <w:szCs w:val="28"/>
                <w:lang w:val="en-US" w:eastAsia="zh-CN"/>
              </w:rPr>
            </w:pPr>
            <w:r>
              <w:rPr>
                <w:rFonts w:hint="eastAsia"/>
                <w:sz w:val="28"/>
                <w:szCs w:val="28"/>
                <w:lang w:val="en-US" w:eastAsia="zh-CN"/>
              </w:rPr>
              <w:t>上兴镇、竹箦镇</w:t>
            </w:r>
          </w:p>
        </w:tc>
        <w:tc>
          <w:tcPr>
            <w:tcW w:w="1432" w:type="pct"/>
            <w:shd w:val="clear" w:color="auto" w:fill="auto"/>
            <w:noWrap/>
            <w:vAlign w:val="center"/>
          </w:tcPr>
          <w:p w14:paraId="3E539436">
            <w:pPr>
              <w:jc w:val="center"/>
              <w:rPr>
                <w:rFonts w:hint="eastAsia" w:eastAsia="仿宋_GB2312"/>
                <w:sz w:val="28"/>
                <w:szCs w:val="28"/>
                <w:lang w:eastAsia="zh-CN"/>
              </w:rPr>
            </w:pPr>
            <w:r>
              <w:rPr>
                <w:sz w:val="28"/>
                <w:szCs w:val="28"/>
              </w:rPr>
              <w:t>CP320481-202</w:t>
            </w:r>
            <w:r>
              <w:rPr>
                <w:rFonts w:hint="eastAsia"/>
                <w:sz w:val="28"/>
                <w:szCs w:val="28"/>
                <w:lang w:val="en-US" w:eastAsia="zh-CN"/>
              </w:rPr>
              <w:t>6</w:t>
            </w:r>
            <w:r>
              <w:rPr>
                <w:sz w:val="28"/>
                <w:szCs w:val="28"/>
              </w:rPr>
              <w:t>-0</w:t>
            </w:r>
            <w:r>
              <w:rPr>
                <w:rFonts w:hint="eastAsia"/>
                <w:sz w:val="28"/>
                <w:szCs w:val="28"/>
                <w:lang w:val="en-US" w:eastAsia="zh-CN"/>
              </w:rPr>
              <w:t>3</w:t>
            </w:r>
            <w:r>
              <w:rPr>
                <w:sz w:val="28"/>
                <w:szCs w:val="28"/>
              </w:rPr>
              <w:t>-0</w:t>
            </w:r>
            <w:r>
              <w:rPr>
                <w:rFonts w:hint="eastAsia"/>
                <w:sz w:val="28"/>
                <w:szCs w:val="28"/>
                <w:lang w:val="en-US" w:eastAsia="zh-CN"/>
              </w:rPr>
              <w:t>1</w:t>
            </w:r>
          </w:p>
        </w:tc>
        <w:tc>
          <w:tcPr>
            <w:tcW w:w="1677" w:type="pct"/>
            <w:shd w:val="clear" w:color="auto" w:fill="auto"/>
            <w:noWrap/>
            <w:vAlign w:val="center"/>
          </w:tcPr>
          <w:p w14:paraId="2769BB87">
            <w:pPr>
              <w:jc w:val="center"/>
              <w:rPr>
                <w:sz w:val="28"/>
                <w:szCs w:val="28"/>
              </w:rPr>
            </w:pPr>
            <w:r>
              <w:rPr>
                <w:rFonts w:hint="eastAsia"/>
                <w:sz w:val="28"/>
                <w:szCs w:val="28"/>
              </w:rPr>
              <w:t>上</w:t>
            </w:r>
            <w:r>
              <w:rPr>
                <w:rFonts w:hint="eastAsia"/>
                <w:sz w:val="28"/>
                <w:szCs w:val="28"/>
                <w:lang w:val="en-US" w:eastAsia="zh-CN"/>
              </w:rPr>
              <w:t>兴高铁站前</w:t>
            </w:r>
            <w:r>
              <w:rPr>
                <w:rFonts w:hint="eastAsia"/>
                <w:sz w:val="28"/>
                <w:szCs w:val="28"/>
              </w:rPr>
              <w:t>片区</w:t>
            </w:r>
          </w:p>
        </w:tc>
        <w:tc>
          <w:tcPr>
            <w:tcW w:w="776" w:type="pct"/>
            <w:shd w:val="clear" w:color="auto" w:fill="auto"/>
            <w:noWrap/>
            <w:vAlign w:val="center"/>
          </w:tcPr>
          <w:p w14:paraId="1E4BF0B4">
            <w:pPr>
              <w:jc w:val="center"/>
              <w:rPr>
                <w:rFonts w:hint="default" w:eastAsia="仿宋_GB2312"/>
                <w:sz w:val="28"/>
                <w:szCs w:val="28"/>
                <w:lang w:val="en-US" w:eastAsia="zh-CN"/>
              </w:rPr>
            </w:pPr>
            <w:r>
              <w:rPr>
                <w:rFonts w:hint="eastAsia"/>
                <w:sz w:val="28"/>
                <w:szCs w:val="28"/>
                <w:lang w:val="en-US" w:eastAsia="zh-CN"/>
              </w:rPr>
              <w:t>166.4017</w:t>
            </w:r>
          </w:p>
        </w:tc>
      </w:tr>
      <w:tr w14:paraId="5984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23" w:type="pct"/>
            <w:gridSpan w:val="3"/>
            <w:shd w:val="clear" w:color="auto" w:fill="auto"/>
            <w:noWrap/>
            <w:vAlign w:val="center"/>
          </w:tcPr>
          <w:p w14:paraId="36A7BA6F">
            <w:pPr>
              <w:jc w:val="center"/>
              <w:rPr>
                <w:sz w:val="28"/>
                <w:szCs w:val="28"/>
              </w:rPr>
            </w:pPr>
            <w:r>
              <w:rPr>
                <w:sz w:val="28"/>
                <w:szCs w:val="28"/>
              </w:rPr>
              <w:t>合计</w:t>
            </w:r>
          </w:p>
        </w:tc>
        <w:tc>
          <w:tcPr>
            <w:tcW w:w="776" w:type="pct"/>
            <w:shd w:val="clear" w:color="auto" w:fill="auto"/>
            <w:noWrap/>
            <w:vAlign w:val="center"/>
          </w:tcPr>
          <w:p w14:paraId="5BA81043">
            <w:pPr>
              <w:jc w:val="center"/>
              <w:rPr>
                <w:sz w:val="28"/>
                <w:szCs w:val="28"/>
              </w:rPr>
            </w:pPr>
            <w:r>
              <w:rPr>
                <w:rFonts w:hint="eastAsia"/>
                <w:sz w:val="28"/>
                <w:szCs w:val="28"/>
                <w:lang w:val="en-US" w:eastAsia="zh-CN"/>
              </w:rPr>
              <w:t>166.4017</w:t>
            </w:r>
          </w:p>
        </w:tc>
      </w:tr>
    </w:tbl>
    <w:p w14:paraId="524642CA">
      <w:pPr>
        <w:jc w:val="left"/>
        <w:outlineLvl w:val="0"/>
        <w:rPr>
          <w:rFonts w:hint="eastAsia" w:ascii="黑体" w:hAnsi="黑体" w:eastAsia="黑体" w:cs="黑体"/>
          <w:sz w:val="32"/>
          <w:szCs w:val="32"/>
        </w:rPr>
      </w:pPr>
      <w:r>
        <w:rPr>
          <w:rFonts w:hint="eastAsia" w:ascii="黑体" w:hAnsi="黑体" w:eastAsia="黑体" w:cs="黑体"/>
          <w:sz w:val="32"/>
          <w:szCs w:val="32"/>
        </w:rPr>
        <w:t>二、成片开发的必要性</w:t>
      </w:r>
    </w:p>
    <w:p w14:paraId="467804F9">
      <w:pPr>
        <w:ind w:firstLine="600" w:firstLineChars="200"/>
      </w:pPr>
      <w:r>
        <w:rPr>
          <w:rFonts w:hint="eastAsia"/>
        </w:rPr>
        <w:t>溧阳地处宁杭生态经济带的重要节点，应抓住区域格局重构的机遇，借助城市群、都市圈、城市带的辐射带动作用，完善城市功能，提高辐射能力，依托乡村振兴战略，促进城乡一体化发展，构建宁杭生态经济带最美副中心城市，建设高质量“强富美高”新溧阳。“十四五”时期，溧阳以建设长三角生态创新示范城市为目标，坚持美丽宁杭新支点、城乡融合试验田的定位，争创公园城市示范、全域旅游示范、产业集群示范、乡村建设示范、区域协作示范的“五个示范”城市。土地征收成片开发方案的实施有助于完善城市核心功能，推进基础设施建设，促进城市功能合理布局，推动产业与城市融合发展，加快实现溧阳高质量发展。</w:t>
      </w:r>
      <w:r>
        <w:br w:type="page"/>
      </w:r>
    </w:p>
    <w:p w14:paraId="16125352">
      <w:pPr>
        <w:jc w:val="left"/>
        <w:outlineLvl w:val="0"/>
        <w:rPr>
          <w:rFonts w:hint="eastAsia" w:ascii="黑体" w:hAnsi="黑体" w:eastAsia="黑体" w:cs="黑体"/>
          <w:sz w:val="32"/>
          <w:szCs w:val="32"/>
        </w:rPr>
      </w:pPr>
      <w:r>
        <w:rPr>
          <w:rFonts w:hint="eastAsia" w:ascii="黑体" w:hAnsi="黑体" w:eastAsia="黑体" w:cs="黑体"/>
          <w:sz w:val="32"/>
          <w:szCs w:val="32"/>
        </w:rPr>
        <w:t>三、实施计划</w:t>
      </w:r>
    </w:p>
    <w:p w14:paraId="5070E0E5">
      <w:pPr>
        <w:ind w:firstLine="600" w:firstLineChars="200"/>
        <w:rPr>
          <w:rFonts w:cs="Times New Roman"/>
          <w:szCs w:val="30"/>
        </w:rPr>
      </w:pPr>
      <w:bookmarkStart w:id="0" w:name="_Toc71564510"/>
      <w:bookmarkStart w:id="1" w:name="_Toc71554385"/>
      <w:r>
        <w:rPr>
          <w:rFonts w:hint="eastAsia" w:cs="Times New Roman"/>
          <w:szCs w:val="30"/>
        </w:rPr>
        <w:t>溧阳市</w:t>
      </w:r>
      <w:r>
        <w:rPr>
          <w:rFonts w:hint="eastAsia" w:cs="Times New Roman"/>
          <w:szCs w:val="30"/>
          <w:lang w:eastAsia="zh-CN"/>
        </w:rPr>
        <w:t>2026-03号</w:t>
      </w:r>
      <w:r>
        <w:rPr>
          <w:rFonts w:hint="eastAsia" w:cs="Times New Roman"/>
          <w:szCs w:val="30"/>
        </w:rPr>
        <w:t>土地征收成片开发方案，</w:t>
      </w:r>
      <w:r>
        <w:rPr>
          <w:rFonts w:cs="Times New Roman"/>
          <w:szCs w:val="30"/>
        </w:rPr>
        <w:t>拟安排开发项目</w:t>
      </w:r>
      <w:r>
        <w:rPr>
          <w:rFonts w:hint="eastAsia" w:cs="Times New Roman"/>
          <w:szCs w:val="30"/>
        </w:rPr>
        <w:t>以工业项目为主，计划在</w:t>
      </w:r>
      <w:r>
        <w:rPr>
          <w:rFonts w:cs="Times New Roman"/>
          <w:szCs w:val="30"/>
        </w:rPr>
        <w:t>20</w:t>
      </w:r>
      <w:r>
        <w:rPr>
          <w:rFonts w:hint="eastAsia" w:cs="Times New Roman"/>
          <w:szCs w:val="30"/>
        </w:rPr>
        <w:t>3</w:t>
      </w:r>
      <w:r>
        <w:rPr>
          <w:rFonts w:hint="eastAsia" w:cs="Times New Roman"/>
          <w:szCs w:val="30"/>
          <w:lang w:val="en-US" w:eastAsia="zh-CN"/>
        </w:rPr>
        <w:t>1</w:t>
      </w:r>
      <w:r>
        <w:rPr>
          <w:rFonts w:hint="eastAsia" w:cs="Times New Roman"/>
          <w:szCs w:val="30"/>
        </w:rPr>
        <w:t>年</w:t>
      </w:r>
      <w:r>
        <w:rPr>
          <w:rFonts w:hint="eastAsia" w:cs="Times New Roman"/>
          <w:szCs w:val="30"/>
          <w:lang w:val="en-US" w:eastAsia="zh-CN"/>
        </w:rPr>
        <w:t>1</w:t>
      </w:r>
      <w:r>
        <w:rPr>
          <w:rFonts w:hint="eastAsia" w:cs="Times New Roman"/>
          <w:szCs w:val="30"/>
        </w:rPr>
        <w:t>月底前完成项目的征收、供应及建设工作。</w:t>
      </w:r>
    </w:p>
    <w:bookmarkEnd w:id="0"/>
    <w:bookmarkEnd w:id="1"/>
    <w:p w14:paraId="3F9243BC">
      <w:pPr>
        <w:jc w:val="left"/>
        <w:outlineLvl w:val="0"/>
        <w:rPr>
          <w:rFonts w:hint="eastAsia" w:ascii="黑体" w:hAnsi="黑体" w:eastAsia="黑体" w:cs="黑体"/>
          <w:sz w:val="32"/>
          <w:szCs w:val="32"/>
        </w:rPr>
      </w:pPr>
      <w:r>
        <w:rPr>
          <w:rFonts w:hint="eastAsia" w:ascii="黑体" w:hAnsi="黑体" w:eastAsia="黑体" w:cs="黑体"/>
          <w:sz w:val="32"/>
          <w:szCs w:val="32"/>
        </w:rPr>
        <w:t>四、规划符合情况</w:t>
      </w:r>
    </w:p>
    <w:p w14:paraId="693D6108">
      <w:pPr>
        <w:pStyle w:val="3"/>
      </w:pPr>
      <w:bookmarkStart w:id="2" w:name="_Toc71554387"/>
      <w:bookmarkStart w:id="3" w:name="_Toc71564512"/>
      <w:r>
        <w:rPr>
          <w:rFonts w:hint="eastAsia"/>
        </w:rPr>
        <w:t>（一）国民经济和社会发展规划、年度计划</w:t>
      </w:r>
      <w:bookmarkEnd w:id="2"/>
      <w:bookmarkEnd w:id="3"/>
    </w:p>
    <w:p w14:paraId="72C052A9">
      <w:pPr>
        <w:ind w:firstLine="600" w:firstLineChars="200"/>
      </w:pPr>
      <w:r>
        <w:rPr>
          <w:rFonts w:hint="eastAsia"/>
        </w:rPr>
        <w:t>本方案符合溧阳市现行国民经济和社会发展规划，拟定的年度实施计划和开发时序符合国民经济和社会发展年度计划。</w:t>
      </w:r>
    </w:p>
    <w:p w14:paraId="573006AB">
      <w:pPr>
        <w:pStyle w:val="3"/>
      </w:pPr>
      <w:bookmarkStart w:id="4" w:name="_Toc71554388"/>
      <w:bookmarkStart w:id="5" w:name="_Toc71564513"/>
      <w:r>
        <w:rPr>
          <w:rFonts w:hint="eastAsia"/>
        </w:rPr>
        <w:t>（二）符合国土空间规划情况</w:t>
      </w:r>
      <w:bookmarkEnd w:id="4"/>
      <w:bookmarkEnd w:id="5"/>
    </w:p>
    <w:p w14:paraId="687CAFE6">
      <w:pPr>
        <w:ind w:firstLine="600" w:firstLineChars="200"/>
      </w:pPr>
      <w:r>
        <w:rPr>
          <w:rFonts w:hint="eastAsia"/>
        </w:rPr>
        <w:t>本方案符合现行的国土空间规划最新成果，成片开发范围均位于城镇开发边界内，不涉及永久基本农田和生态保护红线。</w:t>
      </w:r>
    </w:p>
    <w:p w14:paraId="12750C55">
      <w:pPr>
        <w:pStyle w:val="3"/>
      </w:pPr>
      <w:bookmarkStart w:id="6" w:name="_Toc71554389"/>
      <w:bookmarkStart w:id="7" w:name="_Toc71564514"/>
      <w:r>
        <w:rPr>
          <w:rFonts w:hint="eastAsia"/>
        </w:rPr>
        <w:t>（三）公益性用地比例</w:t>
      </w:r>
      <w:bookmarkEnd w:id="6"/>
      <w:bookmarkEnd w:id="7"/>
    </w:p>
    <w:p w14:paraId="2F66E36F">
      <w:pPr>
        <w:ind w:firstLine="600" w:firstLineChars="200"/>
        <w:jc w:val="left"/>
      </w:pPr>
      <w:r>
        <w:rPr>
          <w:rFonts w:hint="eastAsia"/>
        </w:rPr>
        <w:t>根据用途分区和建设项目的安排，</w:t>
      </w:r>
      <w:r>
        <w:rPr>
          <w:rFonts w:hint="eastAsia" w:cs="Times New Roman"/>
          <w:szCs w:val="30"/>
        </w:rPr>
        <w:t>溧阳市</w:t>
      </w:r>
      <w:r>
        <w:rPr>
          <w:rFonts w:hint="eastAsia" w:cs="Times New Roman"/>
          <w:szCs w:val="30"/>
          <w:lang w:eastAsia="zh-CN"/>
        </w:rPr>
        <w:t>2026-03号</w:t>
      </w:r>
      <w:r>
        <w:rPr>
          <w:rFonts w:hint="eastAsia" w:cs="Times New Roman"/>
          <w:szCs w:val="30"/>
        </w:rPr>
        <w:t>土地征收成片开发调整方案开发片区</w:t>
      </w:r>
      <w:r>
        <w:rPr>
          <w:rFonts w:hint="eastAsia"/>
        </w:rPr>
        <w:t>总面积</w:t>
      </w:r>
      <w:r>
        <w:rPr>
          <w:rFonts w:hint="eastAsia" w:cs="Times New Roman"/>
          <w:szCs w:val="30"/>
          <w:lang w:eastAsia="zh-CN"/>
        </w:rPr>
        <w:t>166.4017</w:t>
      </w:r>
      <w:r>
        <w:rPr>
          <w:rFonts w:hint="eastAsia"/>
        </w:rPr>
        <w:t>公顷，其中</w:t>
      </w:r>
      <w:r>
        <w:rPr>
          <w:rFonts w:hint="eastAsia"/>
          <w:lang w:val="en-US" w:eastAsia="zh-CN"/>
        </w:rPr>
        <w:t>工矿用地132.9419公顷，</w:t>
      </w:r>
      <w:r>
        <w:rPr>
          <w:rFonts w:hint="eastAsia"/>
        </w:rPr>
        <w:t>公益性用地</w:t>
      </w:r>
      <w:r>
        <w:rPr>
          <w:rFonts w:hint="eastAsia" w:cs="Times New Roman"/>
          <w:szCs w:val="30"/>
          <w:lang w:val="en-US" w:eastAsia="zh-CN"/>
        </w:rPr>
        <w:t>33.4598</w:t>
      </w:r>
      <w:r>
        <w:rPr>
          <w:rFonts w:hint="eastAsia"/>
        </w:rPr>
        <w:t>公顷</w:t>
      </w:r>
      <w:r>
        <w:rPr>
          <w:rFonts w:cs="Times New Roman"/>
          <w:szCs w:val="30"/>
        </w:rPr>
        <w:t>（</w:t>
      </w:r>
      <w:r>
        <w:rPr>
          <w:rFonts w:hint="eastAsia" w:cs="Times New Roman"/>
          <w:szCs w:val="30"/>
        </w:rPr>
        <w:t>成片开发片区相关数据以最终批复为准</w:t>
      </w:r>
      <w:r>
        <w:rPr>
          <w:rFonts w:cs="Times New Roman"/>
          <w:szCs w:val="30"/>
        </w:rPr>
        <w:t>）</w:t>
      </w:r>
      <w:r>
        <w:rPr>
          <w:rFonts w:hint="eastAsia" w:cs="Times New Roman"/>
          <w:szCs w:val="30"/>
        </w:rPr>
        <w:t>。片区工矿仓储用地比例高于60%，</w:t>
      </w:r>
      <w:r>
        <w:rPr>
          <w:rFonts w:hint="eastAsia"/>
        </w:rPr>
        <w:t>工业主导型片区公益性用地比例均不低于20%，符合国家和省相关文件要求。详见下表。</w:t>
      </w:r>
    </w:p>
    <w:p w14:paraId="33F313FA">
      <w:pPr>
        <w:ind w:firstLine="600" w:firstLineChars="200"/>
        <w:jc w:val="left"/>
      </w:pPr>
    </w:p>
    <w:p w14:paraId="5EBB50BF">
      <w:pPr>
        <w:ind w:firstLine="600" w:firstLineChars="200"/>
        <w:jc w:val="left"/>
      </w:pPr>
    </w:p>
    <w:p w14:paraId="50C09678">
      <w:pPr>
        <w:pStyle w:val="4"/>
        <w:spacing w:before="156" w:beforeLines="50" w:after="156" w:afterLines="50" w:line="420" w:lineRule="exact"/>
        <w:jc w:val="center"/>
        <w:rPr>
          <w:rFonts w:ascii="Times New Roman" w:hAnsi="Times New Roman" w:eastAsia="仿宋_GB2312" w:cs="Times New Roman"/>
          <w:b/>
        </w:rPr>
      </w:pPr>
      <w:r>
        <w:rPr>
          <w:rFonts w:ascii="Times New Roman" w:hAnsi="Times New Roman" w:eastAsia="仿宋_GB2312" w:cs="Times New Roman"/>
          <w:b/>
        </w:rPr>
        <w:t>表</w:t>
      </w:r>
      <w:r>
        <w:rPr>
          <w:rFonts w:hint="eastAsia" w:ascii="Times New Roman" w:hAnsi="Times New Roman" w:eastAsia="仿宋_GB2312" w:cs="Times New Roman"/>
          <w:b/>
        </w:rPr>
        <w:t>4</w:t>
      </w:r>
      <w:r>
        <w:rPr>
          <w:rFonts w:ascii="Times New Roman" w:hAnsi="Times New Roman" w:eastAsia="仿宋_GB2312" w:cs="Times New Roman"/>
          <w:b/>
        </w:rPr>
        <w:t>-1</w:t>
      </w:r>
      <w:r>
        <w:rPr>
          <w:rFonts w:hint="eastAsia" w:ascii="Times New Roman" w:hAnsi="Times New Roman" w:eastAsia="仿宋_GB2312" w:cs="Times New Roman"/>
          <w:b/>
        </w:rPr>
        <w:t xml:space="preserve"> </w:t>
      </w:r>
      <w:r>
        <w:rPr>
          <w:rFonts w:ascii="Times New Roman" w:hAnsi="Times New Roman" w:eastAsia="仿宋_GB2312" w:cs="Times New Roman"/>
          <w:b/>
        </w:rPr>
        <w:t>片区</w:t>
      </w:r>
      <w:r>
        <w:rPr>
          <w:rFonts w:hint="eastAsia" w:ascii="Times New Roman" w:hAnsi="Times New Roman" w:eastAsia="仿宋_GB2312" w:cs="Times New Roman"/>
          <w:b/>
          <w:lang w:val="en-US" w:eastAsia="zh-CN"/>
        </w:rPr>
        <w:t>公益性</w:t>
      </w:r>
      <w:r>
        <w:rPr>
          <w:rFonts w:ascii="Times New Roman" w:hAnsi="Times New Roman" w:eastAsia="仿宋_GB2312" w:cs="Times New Roman"/>
          <w:b/>
        </w:rPr>
        <w:t>面积表</w:t>
      </w:r>
      <w:r>
        <w:rPr>
          <w:rFonts w:hint="eastAsia" w:ascii="Times New Roman" w:hAnsi="Times New Roman" w:eastAsia="仿宋_GB2312" w:cs="Times New Roman"/>
          <w:b/>
        </w:rPr>
        <w:t>（单位：公顷）</w:t>
      </w:r>
    </w:p>
    <w:tbl>
      <w:tblPr>
        <w:tblStyle w:val="11"/>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1"/>
        <w:gridCol w:w="1985"/>
        <w:gridCol w:w="1777"/>
        <w:gridCol w:w="1767"/>
      </w:tblGrid>
      <w:tr w14:paraId="1725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11" w:type="dxa"/>
            <w:vMerge w:val="restart"/>
            <w:shd w:val="clear" w:color="auto" w:fill="auto"/>
            <w:noWrap/>
            <w:vAlign w:val="center"/>
          </w:tcPr>
          <w:p w14:paraId="5E0695A5">
            <w:pPr>
              <w:jc w:val="center"/>
              <w:rPr>
                <w:sz w:val="28"/>
                <w:szCs w:val="28"/>
              </w:rPr>
            </w:pPr>
            <w:r>
              <w:rPr>
                <w:rFonts w:hint="eastAsia"/>
                <w:sz w:val="28"/>
                <w:szCs w:val="28"/>
              </w:rPr>
              <w:t>名称</w:t>
            </w:r>
          </w:p>
        </w:tc>
        <w:tc>
          <w:tcPr>
            <w:tcW w:w="1985" w:type="dxa"/>
            <w:vMerge w:val="restart"/>
            <w:shd w:val="clear" w:color="auto" w:fill="auto"/>
            <w:vAlign w:val="center"/>
          </w:tcPr>
          <w:p w14:paraId="3DA7CFD4">
            <w:pPr>
              <w:jc w:val="center"/>
              <w:rPr>
                <w:sz w:val="28"/>
                <w:szCs w:val="28"/>
              </w:rPr>
            </w:pPr>
            <w:r>
              <w:rPr>
                <w:rFonts w:hint="eastAsia"/>
                <w:sz w:val="28"/>
                <w:szCs w:val="28"/>
              </w:rPr>
              <w:t>片区总面积</w:t>
            </w:r>
          </w:p>
        </w:tc>
        <w:tc>
          <w:tcPr>
            <w:tcW w:w="1777" w:type="dxa"/>
            <w:vMerge w:val="restart"/>
            <w:shd w:val="clear" w:color="auto" w:fill="auto"/>
            <w:vAlign w:val="center"/>
          </w:tcPr>
          <w:p w14:paraId="69DCDFA4">
            <w:pPr>
              <w:jc w:val="center"/>
              <w:rPr>
                <w:sz w:val="28"/>
                <w:szCs w:val="28"/>
              </w:rPr>
            </w:pPr>
            <w:r>
              <w:rPr>
                <w:rFonts w:hint="eastAsia"/>
                <w:sz w:val="28"/>
                <w:szCs w:val="28"/>
              </w:rPr>
              <w:t>公益性建设用地面积</w:t>
            </w:r>
          </w:p>
        </w:tc>
        <w:tc>
          <w:tcPr>
            <w:tcW w:w="1767" w:type="dxa"/>
            <w:vMerge w:val="restart"/>
            <w:shd w:val="clear" w:color="auto" w:fill="auto"/>
            <w:vAlign w:val="center"/>
          </w:tcPr>
          <w:p w14:paraId="597C786F">
            <w:pPr>
              <w:jc w:val="center"/>
              <w:rPr>
                <w:sz w:val="28"/>
                <w:szCs w:val="28"/>
              </w:rPr>
            </w:pPr>
            <w:r>
              <w:rPr>
                <w:rFonts w:hint="eastAsia"/>
                <w:sz w:val="28"/>
                <w:szCs w:val="28"/>
              </w:rPr>
              <w:t>公益性用地比例（%）</w:t>
            </w:r>
          </w:p>
        </w:tc>
      </w:tr>
      <w:tr w14:paraId="2194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11" w:type="dxa"/>
            <w:vMerge w:val="continue"/>
            <w:vAlign w:val="center"/>
          </w:tcPr>
          <w:p w14:paraId="05CB1231">
            <w:pPr>
              <w:jc w:val="center"/>
              <w:rPr>
                <w:sz w:val="28"/>
                <w:szCs w:val="28"/>
              </w:rPr>
            </w:pPr>
          </w:p>
        </w:tc>
        <w:tc>
          <w:tcPr>
            <w:tcW w:w="1985" w:type="dxa"/>
            <w:vMerge w:val="continue"/>
            <w:vAlign w:val="center"/>
          </w:tcPr>
          <w:p w14:paraId="5A858B62">
            <w:pPr>
              <w:jc w:val="center"/>
              <w:rPr>
                <w:sz w:val="28"/>
                <w:szCs w:val="28"/>
              </w:rPr>
            </w:pPr>
          </w:p>
        </w:tc>
        <w:tc>
          <w:tcPr>
            <w:tcW w:w="1777" w:type="dxa"/>
            <w:vMerge w:val="continue"/>
            <w:vAlign w:val="center"/>
          </w:tcPr>
          <w:p w14:paraId="50412789">
            <w:pPr>
              <w:jc w:val="center"/>
              <w:rPr>
                <w:sz w:val="28"/>
                <w:szCs w:val="28"/>
              </w:rPr>
            </w:pPr>
          </w:p>
        </w:tc>
        <w:tc>
          <w:tcPr>
            <w:tcW w:w="1767" w:type="dxa"/>
            <w:vMerge w:val="continue"/>
            <w:vAlign w:val="center"/>
          </w:tcPr>
          <w:p w14:paraId="6E96930D">
            <w:pPr>
              <w:jc w:val="center"/>
              <w:rPr>
                <w:sz w:val="28"/>
                <w:szCs w:val="28"/>
              </w:rPr>
            </w:pPr>
          </w:p>
        </w:tc>
      </w:tr>
      <w:tr w14:paraId="00CC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11" w:type="dxa"/>
            <w:shd w:val="clear" w:color="auto" w:fill="auto"/>
            <w:noWrap/>
            <w:vAlign w:val="center"/>
          </w:tcPr>
          <w:p w14:paraId="4FE3B1F4">
            <w:pPr>
              <w:jc w:val="center"/>
              <w:rPr>
                <w:sz w:val="28"/>
                <w:szCs w:val="28"/>
              </w:rPr>
            </w:pPr>
            <w:r>
              <w:rPr>
                <w:rFonts w:hint="eastAsia"/>
                <w:sz w:val="28"/>
                <w:szCs w:val="28"/>
              </w:rPr>
              <w:t>上</w:t>
            </w:r>
            <w:r>
              <w:rPr>
                <w:rFonts w:hint="eastAsia"/>
                <w:sz w:val="28"/>
                <w:szCs w:val="28"/>
                <w:lang w:val="en-US" w:eastAsia="zh-CN"/>
              </w:rPr>
              <w:t>兴高铁站前</w:t>
            </w:r>
            <w:r>
              <w:rPr>
                <w:rFonts w:hint="eastAsia"/>
                <w:sz w:val="28"/>
                <w:szCs w:val="28"/>
              </w:rPr>
              <w:t>片区</w:t>
            </w:r>
          </w:p>
        </w:tc>
        <w:tc>
          <w:tcPr>
            <w:tcW w:w="1985" w:type="dxa"/>
            <w:shd w:val="clear" w:color="auto" w:fill="auto"/>
            <w:noWrap/>
            <w:vAlign w:val="center"/>
          </w:tcPr>
          <w:p w14:paraId="6D2ECC15">
            <w:pPr>
              <w:jc w:val="center"/>
              <w:rPr>
                <w:rFonts w:hint="default" w:eastAsia="仿宋_GB2312"/>
                <w:sz w:val="28"/>
                <w:szCs w:val="28"/>
                <w:lang w:val="en-US" w:eastAsia="zh-CN"/>
              </w:rPr>
            </w:pPr>
            <w:r>
              <w:rPr>
                <w:rFonts w:hint="eastAsia"/>
                <w:sz w:val="28"/>
                <w:szCs w:val="28"/>
                <w:lang w:val="en-US" w:eastAsia="zh-CN"/>
              </w:rPr>
              <w:t>166.4017</w:t>
            </w:r>
          </w:p>
        </w:tc>
        <w:tc>
          <w:tcPr>
            <w:tcW w:w="1777" w:type="dxa"/>
            <w:shd w:val="clear" w:color="auto" w:fill="auto"/>
            <w:noWrap/>
            <w:vAlign w:val="center"/>
          </w:tcPr>
          <w:p w14:paraId="375837CB">
            <w:pPr>
              <w:jc w:val="center"/>
              <w:rPr>
                <w:rFonts w:hint="default" w:eastAsia="仿宋_GB2312"/>
                <w:sz w:val="28"/>
                <w:szCs w:val="28"/>
                <w:lang w:val="en-US" w:eastAsia="zh-CN"/>
              </w:rPr>
            </w:pPr>
            <w:r>
              <w:rPr>
                <w:rFonts w:hint="eastAsia"/>
                <w:sz w:val="28"/>
                <w:szCs w:val="28"/>
                <w:lang w:val="en-US" w:eastAsia="zh-CN"/>
              </w:rPr>
              <w:t>33.4598</w:t>
            </w:r>
          </w:p>
        </w:tc>
        <w:tc>
          <w:tcPr>
            <w:tcW w:w="1767" w:type="dxa"/>
            <w:shd w:val="clear" w:color="auto" w:fill="auto"/>
            <w:noWrap/>
            <w:vAlign w:val="center"/>
          </w:tcPr>
          <w:p w14:paraId="4E612B74">
            <w:pPr>
              <w:jc w:val="center"/>
              <w:rPr>
                <w:rFonts w:hint="default" w:eastAsia="仿宋_GB2312"/>
                <w:sz w:val="28"/>
                <w:szCs w:val="28"/>
                <w:lang w:val="en-US" w:eastAsia="zh-CN"/>
              </w:rPr>
            </w:pPr>
            <w:r>
              <w:rPr>
                <w:rFonts w:hint="eastAsia"/>
                <w:sz w:val="28"/>
                <w:szCs w:val="28"/>
              </w:rPr>
              <w:t>2</w:t>
            </w:r>
            <w:r>
              <w:rPr>
                <w:rFonts w:hint="eastAsia"/>
                <w:sz w:val="28"/>
                <w:szCs w:val="28"/>
                <w:lang w:val="en-US" w:eastAsia="zh-CN"/>
              </w:rPr>
              <w:t>0.11</w:t>
            </w:r>
          </w:p>
        </w:tc>
      </w:tr>
    </w:tbl>
    <w:p w14:paraId="1A57303F">
      <w:pPr>
        <w:jc w:val="left"/>
        <w:outlineLvl w:val="0"/>
        <w:rPr>
          <w:rFonts w:hint="eastAsia" w:ascii="黑体" w:hAnsi="黑体" w:eastAsia="黑体" w:cs="黑体"/>
          <w:sz w:val="32"/>
          <w:szCs w:val="32"/>
        </w:rPr>
      </w:pPr>
      <w:r>
        <w:rPr>
          <w:rFonts w:hint="eastAsia" w:ascii="黑体" w:hAnsi="黑体" w:eastAsia="黑体" w:cs="黑体"/>
          <w:sz w:val="32"/>
          <w:szCs w:val="32"/>
        </w:rPr>
        <w:t>五、效益评价</w:t>
      </w:r>
    </w:p>
    <w:p w14:paraId="1DE29809">
      <w:pPr>
        <w:ind w:firstLine="600" w:firstLineChars="200"/>
        <w:rPr>
          <w:rFonts w:cs="Times New Roman"/>
          <w:szCs w:val="30"/>
        </w:rPr>
      </w:pPr>
      <w:r>
        <w:rPr>
          <w:rFonts w:hint="eastAsia" w:cs="Times New Roman"/>
          <w:szCs w:val="30"/>
        </w:rPr>
        <w:t>（一）经济效益。土地成片开发将通过土地征收、供应和市场手段将土地资源配置到各个土地使用者，为城市建设储备了后备力量与经济发展保障，为溧阳市经济的可持续发展、高质量发展与防范金融风险提供坚实的后盾。</w:t>
      </w:r>
    </w:p>
    <w:p w14:paraId="18EF5F1F">
      <w:pPr>
        <w:ind w:firstLine="600" w:firstLineChars="200"/>
        <w:rPr>
          <w:rFonts w:cs="Times New Roman"/>
          <w:szCs w:val="30"/>
        </w:rPr>
      </w:pPr>
      <w:r>
        <w:rPr>
          <w:rFonts w:hint="eastAsia" w:cs="Times New Roman"/>
          <w:szCs w:val="30"/>
        </w:rPr>
        <w:t>（二）社会效益。成片开发方案项目的实施会对社会、经济、环境等各方面产生重大影响，对土地利用、资源分配、环境改善、就业增加等方面有巨大的促进作用。通过本成片开发方案的实施，能够真正实现统一规划、统一配套、统一开发、统一建设、统一管理，提高城市土地资源配置效率。</w:t>
      </w:r>
    </w:p>
    <w:p w14:paraId="3220F789">
      <w:pPr>
        <w:ind w:firstLine="600" w:firstLineChars="200"/>
        <w:rPr>
          <w:rFonts w:cs="Times New Roman"/>
          <w:szCs w:val="30"/>
        </w:rPr>
      </w:pPr>
      <w:r>
        <w:rPr>
          <w:rFonts w:hint="eastAsia" w:cs="Times New Roman"/>
          <w:szCs w:val="30"/>
        </w:rPr>
        <w:t>（三）生态效益。成片开发范围内，将显著提高城市生态环境质量，有效恢复生态绿化功能，改变城市环境，在减少水域污染、保持水土等方面发挥显著作用，使项目区域生态环境实现良性循环，实现人与自然、经济发展与资源环境协调、可持续发展。</w:t>
      </w:r>
    </w:p>
    <w:p w14:paraId="35C5235A">
      <w:pPr>
        <w:jc w:val="left"/>
        <w:outlineLvl w:val="0"/>
        <w:rPr>
          <w:rFonts w:hint="eastAsia" w:ascii="黑体" w:hAnsi="黑体" w:eastAsia="黑体" w:cs="黑体"/>
          <w:sz w:val="32"/>
          <w:szCs w:val="32"/>
        </w:rPr>
      </w:pPr>
      <w:r>
        <w:rPr>
          <w:rFonts w:hint="eastAsia" w:ascii="黑体" w:hAnsi="黑体" w:eastAsia="黑体" w:cs="黑体"/>
          <w:sz w:val="32"/>
          <w:szCs w:val="32"/>
        </w:rPr>
        <w:t>六、征地农民利益保障</w:t>
      </w:r>
    </w:p>
    <w:p w14:paraId="66EA12B4">
      <w:pPr>
        <w:ind w:firstLine="600" w:firstLineChars="200"/>
        <w:rPr>
          <w:rFonts w:cs="Times New Roman"/>
          <w:szCs w:val="30"/>
        </w:rPr>
      </w:pPr>
      <w:r>
        <w:rPr>
          <w:rFonts w:hint="eastAsia" w:cs="Times New Roman"/>
          <w:szCs w:val="30"/>
        </w:rPr>
        <w:t>为维护被征地农民和农村集体经济组织的合法权益，规范征地补偿程序，将严格依据《中华人民共和国土地管理法》（</w:t>
      </w:r>
      <w:r>
        <w:rPr>
          <w:rFonts w:cs="Times New Roman"/>
          <w:szCs w:val="30"/>
        </w:rPr>
        <w:t>2019年修正</w:t>
      </w:r>
      <w:r>
        <w:rPr>
          <w:rFonts w:hint="eastAsia" w:cs="Times New Roman"/>
          <w:szCs w:val="30"/>
        </w:rPr>
        <w:t>）、《省政府关于印发江苏省被征地农民社会保障办法的通知》（苏政发〔</w:t>
      </w:r>
      <w:r>
        <w:rPr>
          <w:rFonts w:cs="Times New Roman"/>
          <w:szCs w:val="30"/>
        </w:rPr>
        <w:t>2021〕87号）</w:t>
      </w:r>
      <w:r>
        <w:rPr>
          <w:rFonts w:hint="eastAsia" w:cs="Times New Roman"/>
          <w:szCs w:val="30"/>
        </w:rPr>
        <w:t>、《市政府关于重新公布常州市所辖各县（市、区）征地区片综合地价执行标准的通知》（常政规〔2023〕6号）</w:t>
      </w:r>
      <w:r>
        <w:rPr>
          <w:rFonts w:hint="eastAsia" w:cs="Times New Roman"/>
          <w:szCs w:val="30"/>
          <w:lang w:eastAsia="zh-CN"/>
        </w:rPr>
        <w:t>、</w:t>
      </w:r>
      <w:r>
        <w:rPr>
          <w:rFonts w:hint="eastAsia" w:cs="Times New Roman"/>
          <w:szCs w:val="30"/>
        </w:rPr>
        <w:t>《溧阳市人民政府关于公布征地区片综合地价执行标准的通知》（溧政发〔2024〕10号）等文件开展后期工作，充分保障农民权益。</w:t>
      </w:r>
    </w:p>
    <w:p w14:paraId="6EC8DCE5">
      <w:pPr>
        <w:ind w:left="180" w:firstLine="420"/>
        <w:rPr>
          <w:rFonts w:cs="Times New Roman"/>
          <w:szCs w:val="30"/>
        </w:rPr>
      </w:pPr>
      <w:r>
        <w:rPr>
          <w:rFonts w:cs="Times New Roman"/>
          <w:szCs w:val="30"/>
        </w:rPr>
        <w:br w:type="page"/>
      </w:r>
      <w:r>
        <w:rPr>
          <w:rFonts w:hint="eastAsia" w:cs="Times New Roman"/>
          <w:szCs w:val="30"/>
        </w:rPr>
        <w:t>(1)</w:t>
      </w:r>
      <w:r>
        <w:rPr>
          <w:rFonts w:cs="Times New Roman"/>
          <w:szCs w:val="30"/>
        </w:rPr>
        <w:tab/>
      </w:r>
      <w:r>
        <w:t>CP320481-202</w:t>
      </w:r>
      <w:r>
        <w:rPr>
          <w:rFonts w:hint="eastAsia"/>
          <w:lang w:val="en-US" w:eastAsia="zh-CN"/>
        </w:rPr>
        <w:t>6</w:t>
      </w:r>
      <w:r>
        <w:t>-0</w:t>
      </w:r>
      <w:r>
        <w:rPr>
          <w:rFonts w:hint="eastAsia"/>
          <w:lang w:val="en-US" w:eastAsia="zh-CN"/>
        </w:rPr>
        <w:t>3</w:t>
      </w:r>
      <w:r>
        <w:t>-0</w:t>
      </w:r>
      <w:r>
        <w:rPr>
          <w:rFonts w:hint="eastAsia"/>
          <w:lang w:val="en-US" w:eastAsia="zh-CN"/>
        </w:rPr>
        <w:t>1</w:t>
      </w:r>
      <w:r>
        <w:t>片区</w:t>
      </w:r>
    </w:p>
    <w:p w14:paraId="2C888F8D">
      <w:pPr>
        <w:ind w:firstLine="600" w:firstLineChars="200"/>
        <w:rPr>
          <w:rFonts w:cs="Times New Roman"/>
          <w:szCs w:val="30"/>
        </w:rPr>
      </w:pPr>
      <w:r>
        <w:rPr>
          <w:rFonts w:hint="eastAsia" w:cs="Times New Roman"/>
          <w:szCs w:val="30"/>
        </w:rPr>
        <w:t>开发片区范围位于溧阳市</w:t>
      </w:r>
      <w:r>
        <w:rPr>
          <w:rFonts w:hint="eastAsia" w:cs="Times New Roman"/>
          <w:szCs w:val="30"/>
          <w:lang w:val="en-US" w:eastAsia="zh-CN"/>
        </w:rPr>
        <w:t>上兴镇、竹箦镇</w:t>
      </w:r>
      <w:r>
        <w:rPr>
          <w:rFonts w:hint="eastAsia" w:cs="Times New Roman"/>
          <w:szCs w:val="30"/>
        </w:rPr>
        <w:t>，</w:t>
      </w:r>
      <w:bookmarkStart w:id="8" w:name="OLE_LINK2"/>
      <w:r>
        <w:rPr>
          <w:rFonts w:hint="eastAsia" w:cs="Times New Roman"/>
          <w:szCs w:val="30"/>
        </w:rPr>
        <w:t>东至站前路，南至曹山路，西至104国道，北至341省道</w:t>
      </w:r>
      <w:r>
        <w:rPr>
          <w:rFonts w:hint="eastAsia" w:cs="Times New Roman"/>
          <w:szCs w:val="30"/>
          <w:lang w:eastAsia="zh-CN"/>
        </w:rPr>
        <w:t>，</w:t>
      </w:r>
      <w:r>
        <w:rPr>
          <w:rFonts w:hint="eastAsia" w:cs="Times New Roman"/>
          <w:szCs w:val="30"/>
        </w:rPr>
        <w:t>片区总面积</w:t>
      </w:r>
      <w:r>
        <w:rPr>
          <w:rFonts w:hint="eastAsia" w:cs="Times New Roman"/>
          <w:szCs w:val="30"/>
          <w:lang w:val="en-US" w:eastAsia="zh-CN"/>
        </w:rPr>
        <w:t>166.4017</w:t>
      </w:r>
      <w:r>
        <w:rPr>
          <w:rFonts w:hint="eastAsia" w:cs="Times New Roman"/>
          <w:szCs w:val="30"/>
        </w:rPr>
        <w:t>公顷。</w:t>
      </w:r>
      <w:bookmarkEnd w:id="8"/>
    </w:p>
    <w:p w14:paraId="74BD32BC">
      <w:pPr>
        <w:jc w:val="center"/>
      </w:pPr>
      <w:r>
        <w:drawing>
          <wp:inline distT="0" distB="0" distL="0" distR="0">
            <wp:extent cx="4679950" cy="3308985"/>
            <wp:effectExtent l="0" t="0" r="6350" b="5715"/>
            <wp:docPr id="648463893" name="图片 3" descr="E:/01师/01项目/2026年项目/01溧阳市上兴镇2026年成片开发251211/过程数据/08图件/260105公示图/片区卫星图.jpg片区卫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63893" name="图片 3" descr="E:/01师/01项目/2026年项目/01溧阳市上兴镇2026年成片开发251211/过程数据/08图件/260105公示图/片区卫星图.jpg片区卫星图"/>
                    <pic:cNvPicPr>
                      <a:picLocks noChangeAspect="1"/>
                    </pic:cNvPicPr>
                  </pic:nvPicPr>
                  <pic:blipFill>
                    <a:blip r:embed="rId5"/>
                    <a:srcRect t="54" b="54"/>
                    <a:stretch>
                      <a:fillRect/>
                    </a:stretch>
                  </pic:blipFill>
                  <pic:spPr>
                    <a:xfrm>
                      <a:off x="0" y="0"/>
                      <a:ext cx="4679950" cy="3308985"/>
                    </a:xfrm>
                    <a:prstGeom prst="rect">
                      <a:avLst/>
                    </a:prstGeom>
                  </pic:spPr>
                </pic:pic>
              </a:graphicData>
            </a:graphic>
          </wp:inline>
        </w:drawing>
      </w:r>
    </w:p>
    <w:p w14:paraId="47112F73">
      <w:pPr>
        <w:jc w:val="center"/>
        <w:rPr>
          <w:sz w:val="28"/>
          <w:szCs w:val="28"/>
        </w:rPr>
      </w:pPr>
      <w:r>
        <w:drawing>
          <wp:inline distT="0" distB="0" distL="0" distR="0">
            <wp:extent cx="4679950" cy="3309620"/>
            <wp:effectExtent l="0" t="0" r="6350" b="5080"/>
            <wp:docPr id="1992376016" name="图片 2" descr="E:/01师/01项目/2026年项目/01溧阳市上兴镇2026年成片开发251211/过程数据/08图件/260105公示图/片区国土空间规划分区图.jpg片区国土空间规划分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76016" name="图片 2" descr="E:/01师/01项目/2026年项目/01溧阳市上兴镇2026年成片开发251211/过程数据/08图件/260105公示图/片区国土空间规划分区图.jpg片区国土空间规划分区图"/>
                    <pic:cNvPicPr>
                      <a:picLocks noChangeAspect="1"/>
                    </pic:cNvPicPr>
                  </pic:nvPicPr>
                  <pic:blipFill>
                    <a:blip r:embed="rId6"/>
                    <a:srcRect t="40" b="40"/>
                    <a:stretch>
                      <a:fillRect/>
                    </a:stretch>
                  </pic:blipFill>
                  <pic:spPr>
                    <a:xfrm>
                      <a:off x="0" y="0"/>
                      <a:ext cx="4679950" cy="3309620"/>
                    </a:xfrm>
                    <a:prstGeom prst="rect">
                      <a:avLst/>
                    </a:prstGeom>
                  </pic:spPr>
                </pic:pic>
              </a:graphicData>
            </a:graphic>
          </wp:inline>
        </w:drawing>
      </w:r>
    </w:p>
    <w:p w14:paraId="0E75B50B">
      <w:pPr>
        <w:jc w:val="center"/>
        <w:rPr>
          <w:sz w:val="28"/>
          <w:szCs w:val="28"/>
        </w:rPr>
      </w:pPr>
      <w:r>
        <w:rPr>
          <w:sz w:val="28"/>
          <w:szCs w:val="28"/>
        </w:rPr>
        <w:t>（成片开发范围以最终批复为准）</w:t>
      </w: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F7B1">
    <w:pPr>
      <w:pStyle w:val="6"/>
      <w:jc w:val="center"/>
    </w:pPr>
  </w:p>
  <w:p w14:paraId="4775260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3A"/>
    <w:rsid w:val="00001A3D"/>
    <w:rsid w:val="000059EF"/>
    <w:rsid w:val="000106F3"/>
    <w:rsid w:val="000120E9"/>
    <w:rsid w:val="000137F0"/>
    <w:rsid w:val="00020781"/>
    <w:rsid w:val="00022469"/>
    <w:rsid w:val="00025AFC"/>
    <w:rsid w:val="00035436"/>
    <w:rsid w:val="00060671"/>
    <w:rsid w:val="00061BBE"/>
    <w:rsid w:val="000643EA"/>
    <w:rsid w:val="0006512C"/>
    <w:rsid w:val="00072DE0"/>
    <w:rsid w:val="00075853"/>
    <w:rsid w:val="00077CBD"/>
    <w:rsid w:val="00097321"/>
    <w:rsid w:val="000A0428"/>
    <w:rsid w:val="000A514E"/>
    <w:rsid w:val="000B0080"/>
    <w:rsid w:val="000B2264"/>
    <w:rsid w:val="000B535D"/>
    <w:rsid w:val="000B7869"/>
    <w:rsid w:val="000C49BC"/>
    <w:rsid w:val="000E6236"/>
    <w:rsid w:val="00105814"/>
    <w:rsid w:val="00113F77"/>
    <w:rsid w:val="00115AEB"/>
    <w:rsid w:val="00132CDD"/>
    <w:rsid w:val="00135793"/>
    <w:rsid w:val="001465FA"/>
    <w:rsid w:val="00147F28"/>
    <w:rsid w:val="001503E7"/>
    <w:rsid w:val="00162CCE"/>
    <w:rsid w:val="00165281"/>
    <w:rsid w:val="00167D63"/>
    <w:rsid w:val="001715D6"/>
    <w:rsid w:val="0017634B"/>
    <w:rsid w:val="00176A33"/>
    <w:rsid w:val="00191675"/>
    <w:rsid w:val="001947CE"/>
    <w:rsid w:val="00195CC8"/>
    <w:rsid w:val="001A3531"/>
    <w:rsid w:val="001A5FF9"/>
    <w:rsid w:val="001A74F6"/>
    <w:rsid w:val="001C1AC4"/>
    <w:rsid w:val="001C29BF"/>
    <w:rsid w:val="001C6D44"/>
    <w:rsid w:val="001D0A30"/>
    <w:rsid w:val="001D0FC5"/>
    <w:rsid w:val="001E1094"/>
    <w:rsid w:val="001E2023"/>
    <w:rsid w:val="001E622A"/>
    <w:rsid w:val="001F26B3"/>
    <w:rsid w:val="00214DCA"/>
    <w:rsid w:val="00215150"/>
    <w:rsid w:val="00221BC1"/>
    <w:rsid w:val="0022293C"/>
    <w:rsid w:val="002279D3"/>
    <w:rsid w:val="00243AE6"/>
    <w:rsid w:val="00245251"/>
    <w:rsid w:val="00247191"/>
    <w:rsid w:val="00253990"/>
    <w:rsid w:val="0025503C"/>
    <w:rsid w:val="002561FF"/>
    <w:rsid w:val="00257FCD"/>
    <w:rsid w:val="00265FBD"/>
    <w:rsid w:val="0027112A"/>
    <w:rsid w:val="0027304C"/>
    <w:rsid w:val="00274D93"/>
    <w:rsid w:val="0028107D"/>
    <w:rsid w:val="00283B77"/>
    <w:rsid w:val="00296757"/>
    <w:rsid w:val="002A4067"/>
    <w:rsid w:val="002C55C2"/>
    <w:rsid w:val="002D5EE9"/>
    <w:rsid w:val="002D7185"/>
    <w:rsid w:val="002E11D5"/>
    <w:rsid w:val="002F2F41"/>
    <w:rsid w:val="002F6887"/>
    <w:rsid w:val="002F7B93"/>
    <w:rsid w:val="00305092"/>
    <w:rsid w:val="00305199"/>
    <w:rsid w:val="003052AB"/>
    <w:rsid w:val="003066C9"/>
    <w:rsid w:val="00314890"/>
    <w:rsid w:val="00322C63"/>
    <w:rsid w:val="00325C74"/>
    <w:rsid w:val="00326F6F"/>
    <w:rsid w:val="00330FE4"/>
    <w:rsid w:val="00331DC8"/>
    <w:rsid w:val="0034573E"/>
    <w:rsid w:val="00345BAA"/>
    <w:rsid w:val="0034678E"/>
    <w:rsid w:val="00352C06"/>
    <w:rsid w:val="00355E84"/>
    <w:rsid w:val="00374BDD"/>
    <w:rsid w:val="00377706"/>
    <w:rsid w:val="0038111F"/>
    <w:rsid w:val="00381891"/>
    <w:rsid w:val="003852F7"/>
    <w:rsid w:val="003A32B2"/>
    <w:rsid w:val="003A4047"/>
    <w:rsid w:val="003B1D0F"/>
    <w:rsid w:val="003F1F5E"/>
    <w:rsid w:val="003F25B1"/>
    <w:rsid w:val="003F3284"/>
    <w:rsid w:val="003F7EB8"/>
    <w:rsid w:val="0040003C"/>
    <w:rsid w:val="00411355"/>
    <w:rsid w:val="00424A47"/>
    <w:rsid w:val="00425F13"/>
    <w:rsid w:val="00426A01"/>
    <w:rsid w:val="00430542"/>
    <w:rsid w:val="00432432"/>
    <w:rsid w:val="004336AC"/>
    <w:rsid w:val="00454649"/>
    <w:rsid w:val="00455DA9"/>
    <w:rsid w:val="00460899"/>
    <w:rsid w:val="00465D0C"/>
    <w:rsid w:val="00466E39"/>
    <w:rsid w:val="00471014"/>
    <w:rsid w:val="004713D6"/>
    <w:rsid w:val="004764CC"/>
    <w:rsid w:val="004776C8"/>
    <w:rsid w:val="00480EB7"/>
    <w:rsid w:val="004839FD"/>
    <w:rsid w:val="00483DB8"/>
    <w:rsid w:val="0048541C"/>
    <w:rsid w:val="004905AE"/>
    <w:rsid w:val="004A191B"/>
    <w:rsid w:val="004C5BB6"/>
    <w:rsid w:val="004D2176"/>
    <w:rsid w:val="004D725C"/>
    <w:rsid w:val="004D7FC4"/>
    <w:rsid w:val="004E3213"/>
    <w:rsid w:val="004F25DF"/>
    <w:rsid w:val="004F2A8A"/>
    <w:rsid w:val="004F61FE"/>
    <w:rsid w:val="00500BED"/>
    <w:rsid w:val="00503AF5"/>
    <w:rsid w:val="005108FD"/>
    <w:rsid w:val="00512893"/>
    <w:rsid w:val="005148C3"/>
    <w:rsid w:val="005164DA"/>
    <w:rsid w:val="00526D3C"/>
    <w:rsid w:val="00532AA6"/>
    <w:rsid w:val="005366B1"/>
    <w:rsid w:val="00540F43"/>
    <w:rsid w:val="005416B4"/>
    <w:rsid w:val="0054303F"/>
    <w:rsid w:val="0054472F"/>
    <w:rsid w:val="0057181F"/>
    <w:rsid w:val="00574B68"/>
    <w:rsid w:val="00576582"/>
    <w:rsid w:val="0058173B"/>
    <w:rsid w:val="00581CF6"/>
    <w:rsid w:val="00581D8C"/>
    <w:rsid w:val="005914A1"/>
    <w:rsid w:val="00597A65"/>
    <w:rsid w:val="005A3E06"/>
    <w:rsid w:val="005B37A7"/>
    <w:rsid w:val="005C1ECA"/>
    <w:rsid w:val="005E62E2"/>
    <w:rsid w:val="005F4D63"/>
    <w:rsid w:val="005F7898"/>
    <w:rsid w:val="00601DF3"/>
    <w:rsid w:val="00606B3D"/>
    <w:rsid w:val="00606BDC"/>
    <w:rsid w:val="00607C55"/>
    <w:rsid w:val="006154AE"/>
    <w:rsid w:val="0061616F"/>
    <w:rsid w:val="00632E68"/>
    <w:rsid w:val="00635FB1"/>
    <w:rsid w:val="0064458F"/>
    <w:rsid w:val="00656969"/>
    <w:rsid w:val="00657351"/>
    <w:rsid w:val="00662124"/>
    <w:rsid w:val="00663E58"/>
    <w:rsid w:val="00664C56"/>
    <w:rsid w:val="006652BA"/>
    <w:rsid w:val="00665311"/>
    <w:rsid w:val="00671704"/>
    <w:rsid w:val="00673084"/>
    <w:rsid w:val="00673DF4"/>
    <w:rsid w:val="006B1A23"/>
    <w:rsid w:val="006C33B6"/>
    <w:rsid w:val="006C3A9E"/>
    <w:rsid w:val="006E1EBD"/>
    <w:rsid w:val="006E33E2"/>
    <w:rsid w:val="006E645D"/>
    <w:rsid w:val="006F280D"/>
    <w:rsid w:val="006F352C"/>
    <w:rsid w:val="006F695A"/>
    <w:rsid w:val="006F6FA9"/>
    <w:rsid w:val="00701B27"/>
    <w:rsid w:val="00702EA0"/>
    <w:rsid w:val="007040B1"/>
    <w:rsid w:val="00710CCB"/>
    <w:rsid w:val="00711055"/>
    <w:rsid w:val="00711994"/>
    <w:rsid w:val="007151CB"/>
    <w:rsid w:val="007238F3"/>
    <w:rsid w:val="00730891"/>
    <w:rsid w:val="00733911"/>
    <w:rsid w:val="007360A8"/>
    <w:rsid w:val="00743C52"/>
    <w:rsid w:val="00753197"/>
    <w:rsid w:val="007557D0"/>
    <w:rsid w:val="00761D35"/>
    <w:rsid w:val="00762E41"/>
    <w:rsid w:val="007711F1"/>
    <w:rsid w:val="00776430"/>
    <w:rsid w:val="007807E0"/>
    <w:rsid w:val="00780FA7"/>
    <w:rsid w:val="007833E1"/>
    <w:rsid w:val="0078514D"/>
    <w:rsid w:val="00796363"/>
    <w:rsid w:val="00796F7B"/>
    <w:rsid w:val="007B0A7B"/>
    <w:rsid w:val="007B24FA"/>
    <w:rsid w:val="007B326A"/>
    <w:rsid w:val="007B7418"/>
    <w:rsid w:val="007C1517"/>
    <w:rsid w:val="007C4450"/>
    <w:rsid w:val="007D2B99"/>
    <w:rsid w:val="007D2EA0"/>
    <w:rsid w:val="007D49DC"/>
    <w:rsid w:val="007E1012"/>
    <w:rsid w:val="007E1E30"/>
    <w:rsid w:val="007F6088"/>
    <w:rsid w:val="007F6C5A"/>
    <w:rsid w:val="0081017F"/>
    <w:rsid w:val="0081035E"/>
    <w:rsid w:val="008108D9"/>
    <w:rsid w:val="00811643"/>
    <w:rsid w:val="0081571D"/>
    <w:rsid w:val="00817B25"/>
    <w:rsid w:val="00820273"/>
    <w:rsid w:val="008220A3"/>
    <w:rsid w:val="008249BF"/>
    <w:rsid w:val="00827017"/>
    <w:rsid w:val="0082790C"/>
    <w:rsid w:val="00835415"/>
    <w:rsid w:val="00845A50"/>
    <w:rsid w:val="0084758F"/>
    <w:rsid w:val="00847767"/>
    <w:rsid w:val="008520C8"/>
    <w:rsid w:val="00853483"/>
    <w:rsid w:val="00853969"/>
    <w:rsid w:val="008547BF"/>
    <w:rsid w:val="0086000E"/>
    <w:rsid w:val="00860091"/>
    <w:rsid w:val="00867284"/>
    <w:rsid w:val="008679A2"/>
    <w:rsid w:val="00882E12"/>
    <w:rsid w:val="00884084"/>
    <w:rsid w:val="00885639"/>
    <w:rsid w:val="008867C5"/>
    <w:rsid w:val="00887C06"/>
    <w:rsid w:val="00891B22"/>
    <w:rsid w:val="008931C7"/>
    <w:rsid w:val="008933B7"/>
    <w:rsid w:val="008A1497"/>
    <w:rsid w:val="008A660E"/>
    <w:rsid w:val="008A7BA8"/>
    <w:rsid w:val="008B192F"/>
    <w:rsid w:val="008B4A57"/>
    <w:rsid w:val="008B7A76"/>
    <w:rsid w:val="008D1AB3"/>
    <w:rsid w:val="008E2688"/>
    <w:rsid w:val="008E6107"/>
    <w:rsid w:val="008E6946"/>
    <w:rsid w:val="008F0336"/>
    <w:rsid w:val="008F7096"/>
    <w:rsid w:val="00910632"/>
    <w:rsid w:val="009124DE"/>
    <w:rsid w:val="00920882"/>
    <w:rsid w:val="009262A3"/>
    <w:rsid w:val="00933B45"/>
    <w:rsid w:val="009341B6"/>
    <w:rsid w:val="009369F1"/>
    <w:rsid w:val="00944DCE"/>
    <w:rsid w:val="00950947"/>
    <w:rsid w:val="0095292C"/>
    <w:rsid w:val="009545B2"/>
    <w:rsid w:val="0096148C"/>
    <w:rsid w:val="00973CF6"/>
    <w:rsid w:val="00990062"/>
    <w:rsid w:val="009947E6"/>
    <w:rsid w:val="009961A1"/>
    <w:rsid w:val="0099679D"/>
    <w:rsid w:val="009A17D4"/>
    <w:rsid w:val="009A1B30"/>
    <w:rsid w:val="009A4197"/>
    <w:rsid w:val="009A6934"/>
    <w:rsid w:val="009B05ED"/>
    <w:rsid w:val="009B431B"/>
    <w:rsid w:val="009C3CF6"/>
    <w:rsid w:val="009D1B43"/>
    <w:rsid w:val="009D5559"/>
    <w:rsid w:val="009E2031"/>
    <w:rsid w:val="009E30A7"/>
    <w:rsid w:val="009E503F"/>
    <w:rsid w:val="009E549D"/>
    <w:rsid w:val="009E5AF6"/>
    <w:rsid w:val="00A12C54"/>
    <w:rsid w:val="00A203D4"/>
    <w:rsid w:val="00A2667E"/>
    <w:rsid w:val="00A33E73"/>
    <w:rsid w:val="00A360AF"/>
    <w:rsid w:val="00A363A9"/>
    <w:rsid w:val="00A60B46"/>
    <w:rsid w:val="00A80277"/>
    <w:rsid w:val="00A84C43"/>
    <w:rsid w:val="00A87CDC"/>
    <w:rsid w:val="00A91DCB"/>
    <w:rsid w:val="00A928F2"/>
    <w:rsid w:val="00AA3B3D"/>
    <w:rsid w:val="00AC02B9"/>
    <w:rsid w:val="00AC34C2"/>
    <w:rsid w:val="00AC5884"/>
    <w:rsid w:val="00AD07E4"/>
    <w:rsid w:val="00AD15D6"/>
    <w:rsid w:val="00AE4106"/>
    <w:rsid w:val="00AF4125"/>
    <w:rsid w:val="00AF4956"/>
    <w:rsid w:val="00B05841"/>
    <w:rsid w:val="00B14AC8"/>
    <w:rsid w:val="00B14B60"/>
    <w:rsid w:val="00B20C00"/>
    <w:rsid w:val="00B22D23"/>
    <w:rsid w:val="00B2457B"/>
    <w:rsid w:val="00B26444"/>
    <w:rsid w:val="00B26B0A"/>
    <w:rsid w:val="00B312EE"/>
    <w:rsid w:val="00B354D9"/>
    <w:rsid w:val="00B4208E"/>
    <w:rsid w:val="00B42302"/>
    <w:rsid w:val="00B43068"/>
    <w:rsid w:val="00B438C6"/>
    <w:rsid w:val="00B44F94"/>
    <w:rsid w:val="00B5084C"/>
    <w:rsid w:val="00B54EC0"/>
    <w:rsid w:val="00B55A39"/>
    <w:rsid w:val="00B748D2"/>
    <w:rsid w:val="00B75EC0"/>
    <w:rsid w:val="00B76B57"/>
    <w:rsid w:val="00B8138B"/>
    <w:rsid w:val="00B8440F"/>
    <w:rsid w:val="00B929D3"/>
    <w:rsid w:val="00B96EE1"/>
    <w:rsid w:val="00B97C6C"/>
    <w:rsid w:val="00BA1CD3"/>
    <w:rsid w:val="00BB4C02"/>
    <w:rsid w:val="00BB508A"/>
    <w:rsid w:val="00BB7A3D"/>
    <w:rsid w:val="00BD11E7"/>
    <w:rsid w:val="00BD150E"/>
    <w:rsid w:val="00BD2C96"/>
    <w:rsid w:val="00BD5577"/>
    <w:rsid w:val="00BE57F6"/>
    <w:rsid w:val="00BF109D"/>
    <w:rsid w:val="00BF47B0"/>
    <w:rsid w:val="00BF63FF"/>
    <w:rsid w:val="00C006A5"/>
    <w:rsid w:val="00C050E8"/>
    <w:rsid w:val="00C20997"/>
    <w:rsid w:val="00C238C7"/>
    <w:rsid w:val="00C244DA"/>
    <w:rsid w:val="00C26CE6"/>
    <w:rsid w:val="00C27E99"/>
    <w:rsid w:val="00C327B2"/>
    <w:rsid w:val="00C3303B"/>
    <w:rsid w:val="00C33F41"/>
    <w:rsid w:val="00C36690"/>
    <w:rsid w:val="00C47DFF"/>
    <w:rsid w:val="00C611A8"/>
    <w:rsid w:val="00C61C00"/>
    <w:rsid w:val="00C64A35"/>
    <w:rsid w:val="00C65BE8"/>
    <w:rsid w:val="00C751DF"/>
    <w:rsid w:val="00C8487D"/>
    <w:rsid w:val="00C8533A"/>
    <w:rsid w:val="00C87104"/>
    <w:rsid w:val="00C948AA"/>
    <w:rsid w:val="00CA0008"/>
    <w:rsid w:val="00CA0CFB"/>
    <w:rsid w:val="00CA117B"/>
    <w:rsid w:val="00CA2BCE"/>
    <w:rsid w:val="00CB39A0"/>
    <w:rsid w:val="00CB591A"/>
    <w:rsid w:val="00CC1C2D"/>
    <w:rsid w:val="00CC6273"/>
    <w:rsid w:val="00CD3481"/>
    <w:rsid w:val="00CD3ECA"/>
    <w:rsid w:val="00CE0395"/>
    <w:rsid w:val="00CE2C40"/>
    <w:rsid w:val="00D0597A"/>
    <w:rsid w:val="00D118FC"/>
    <w:rsid w:val="00D15CC5"/>
    <w:rsid w:val="00D21AE6"/>
    <w:rsid w:val="00D3301C"/>
    <w:rsid w:val="00D33735"/>
    <w:rsid w:val="00D4198A"/>
    <w:rsid w:val="00D43434"/>
    <w:rsid w:val="00D448DB"/>
    <w:rsid w:val="00D5214C"/>
    <w:rsid w:val="00D5697D"/>
    <w:rsid w:val="00D65F84"/>
    <w:rsid w:val="00D7047D"/>
    <w:rsid w:val="00D70C85"/>
    <w:rsid w:val="00D72DD1"/>
    <w:rsid w:val="00D75989"/>
    <w:rsid w:val="00D80A6F"/>
    <w:rsid w:val="00D8744A"/>
    <w:rsid w:val="00D93056"/>
    <w:rsid w:val="00D97312"/>
    <w:rsid w:val="00DA2D83"/>
    <w:rsid w:val="00DB4CF7"/>
    <w:rsid w:val="00DC2200"/>
    <w:rsid w:val="00DC3153"/>
    <w:rsid w:val="00DC4334"/>
    <w:rsid w:val="00DC4813"/>
    <w:rsid w:val="00DC6B4F"/>
    <w:rsid w:val="00DC7932"/>
    <w:rsid w:val="00DD65A8"/>
    <w:rsid w:val="00DF4DAB"/>
    <w:rsid w:val="00E01D8D"/>
    <w:rsid w:val="00E044E5"/>
    <w:rsid w:val="00E12754"/>
    <w:rsid w:val="00E1282E"/>
    <w:rsid w:val="00E144D4"/>
    <w:rsid w:val="00E171C9"/>
    <w:rsid w:val="00E30F1E"/>
    <w:rsid w:val="00E32945"/>
    <w:rsid w:val="00E32F53"/>
    <w:rsid w:val="00E35D70"/>
    <w:rsid w:val="00E456A7"/>
    <w:rsid w:val="00E46FDC"/>
    <w:rsid w:val="00E51E5B"/>
    <w:rsid w:val="00E63197"/>
    <w:rsid w:val="00E65F02"/>
    <w:rsid w:val="00E73361"/>
    <w:rsid w:val="00E74DAC"/>
    <w:rsid w:val="00E92D27"/>
    <w:rsid w:val="00E93314"/>
    <w:rsid w:val="00E9626E"/>
    <w:rsid w:val="00E97749"/>
    <w:rsid w:val="00EB26E5"/>
    <w:rsid w:val="00EB3DBC"/>
    <w:rsid w:val="00EC53E5"/>
    <w:rsid w:val="00ED0D62"/>
    <w:rsid w:val="00ED4518"/>
    <w:rsid w:val="00ED70F3"/>
    <w:rsid w:val="00EE174A"/>
    <w:rsid w:val="00EE1946"/>
    <w:rsid w:val="00EF38CD"/>
    <w:rsid w:val="00EF491E"/>
    <w:rsid w:val="00EF6035"/>
    <w:rsid w:val="00EF6ED0"/>
    <w:rsid w:val="00F04799"/>
    <w:rsid w:val="00F058FC"/>
    <w:rsid w:val="00F24C59"/>
    <w:rsid w:val="00F27C77"/>
    <w:rsid w:val="00F47036"/>
    <w:rsid w:val="00F55746"/>
    <w:rsid w:val="00F55B77"/>
    <w:rsid w:val="00F57BC2"/>
    <w:rsid w:val="00F77C8D"/>
    <w:rsid w:val="00F80376"/>
    <w:rsid w:val="00F81BD5"/>
    <w:rsid w:val="00F821F2"/>
    <w:rsid w:val="00F87754"/>
    <w:rsid w:val="00F93594"/>
    <w:rsid w:val="00F936AD"/>
    <w:rsid w:val="00FA185C"/>
    <w:rsid w:val="00FA5A9C"/>
    <w:rsid w:val="00FB1D7A"/>
    <w:rsid w:val="00FB4E2F"/>
    <w:rsid w:val="00FB6130"/>
    <w:rsid w:val="00FC6F5E"/>
    <w:rsid w:val="00FD0CA3"/>
    <w:rsid w:val="00FD2973"/>
    <w:rsid w:val="00FD6E9B"/>
    <w:rsid w:val="00FE0B62"/>
    <w:rsid w:val="00FE0E06"/>
    <w:rsid w:val="00FF28A7"/>
    <w:rsid w:val="00FF3A40"/>
    <w:rsid w:val="00FF4A5D"/>
    <w:rsid w:val="01AA1AC9"/>
    <w:rsid w:val="05224197"/>
    <w:rsid w:val="07AD07AD"/>
    <w:rsid w:val="0A2D299B"/>
    <w:rsid w:val="0A762E91"/>
    <w:rsid w:val="0C175649"/>
    <w:rsid w:val="0D6F41F9"/>
    <w:rsid w:val="0EDB59B8"/>
    <w:rsid w:val="10284C2D"/>
    <w:rsid w:val="115F642C"/>
    <w:rsid w:val="125A3098"/>
    <w:rsid w:val="13165211"/>
    <w:rsid w:val="141C6857"/>
    <w:rsid w:val="15EB4733"/>
    <w:rsid w:val="161C2B3E"/>
    <w:rsid w:val="180E00D5"/>
    <w:rsid w:val="18BE2E10"/>
    <w:rsid w:val="19C05ED6"/>
    <w:rsid w:val="19DB4ABE"/>
    <w:rsid w:val="1AC9700C"/>
    <w:rsid w:val="1B2B3823"/>
    <w:rsid w:val="1FA12306"/>
    <w:rsid w:val="21957C48"/>
    <w:rsid w:val="232079E6"/>
    <w:rsid w:val="253D487F"/>
    <w:rsid w:val="25DF76E4"/>
    <w:rsid w:val="28902F18"/>
    <w:rsid w:val="28B27332"/>
    <w:rsid w:val="2A336250"/>
    <w:rsid w:val="2AA902C1"/>
    <w:rsid w:val="2B8E7BE2"/>
    <w:rsid w:val="2BFA5278"/>
    <w:rsid w:val="2CEC2150"/>
    <w:rsid w:val="2D960FD0"/>
    <w:rsid w:val="30E16A06"/>
    <w:rsid w:val="32E01C64"/>
    <w:rsid w:val="34425A0E"/>
    <w:rsid w:val="3784633D"/>
    <w:rsid w:val="38EE05A3"/>
    <w:rsid w:val="396C7089"/>
    <w:rsid w:val="3D69400B"/>
    <w:rsid w:val="3DD63C16"/>
    <w:rsid w:val="422C1AAB"/>
    <w:rsid w:val="446A2FBB"/>
    <w:rsid w:val="45D3296A"/>
    <w:rsid w:val="47797541"/>
    <w:rsid w:val="478D4D9A"/>
    <w:rsid w:val="47AC3472"/>
    <w:rsid w:val="4AA5064D"/>
    <w:rsid w:val="4EAC3D58"/>
    <w:rsid w:val="5124051D"/>
    <w:rsid w:val="517B2107"/>
    <w:rsid w:val="55302B84"/>
    <w:rsid w:val="5CBC3876"/>
    <w:rsid w:val="5E767EDE"/>
    <w:rsid w:val="5FCA6734"/>
    <w:rsid w:val="608C1C3B"/>
    <w:rsid w:val="61AE042F"/>
    <w:rsid w:val="63155201"/>
    <w:rsid w:val="631B72A6"/>
    <w:rsid w:val="6433536A"/>
    <w:rsid w:val="66AE1DFB"/>
    <w:rsid w:val="67112E9A"/>
    <w:rsid w:val="6B2018FE"/>
    <w:rsid w:val="6C5D448C"/>
    <w:rsid w:val="6DB427D1"/>
    <w:rsid w:val="6EB32A89"/>
    <w:rsid w:val="703D6AAE"/>
    <w:rsid w:val="71E24ED2"/>
    <w:rsid w:val="72300796"/>
    <w:rsid w:val="72C2773E"/>
    <w:rsid w:val="73BB6668"/>
    <w:rsid w:val="7702635B"/>
    <w:rsid w:val="79D33FDF"/>
    <w:rsid w:val="7EE84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0"/>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rFonts w:eastAsia="黑体"/>
      <w:b/>
      <w:bCs/>
      <w:kern w:val="44"/>
      <w:sz w:val="32"/>
      <w:szCs w:val="44"/>
    </w:rPr>
  </w:style>
  <w:style w:type="paragraph" w:styleId="3">
    <w:name w:val="heading 2"/>
    <w:basedOn w:val="1"/>
    <w:next w:val="1"/>
    <w:link w:val="16"/>
    <w:unhideWhenUsed/>
    <w:qFormat/>
    <w:uiPriority w:val="9"/>
    <w:pPr>
      <w:keepNext/>
      <w:keepLines/>
      <w:spacing w:before="260" w:after="260" w:line="416" w:lineRule="auto"/>
      <w:outlineLvl w:val="1"/>
    </w:pPr>
    <w:rPr>
      <w:rFonts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1"/>
    <w:qFormat/>
    <w:uiPriority w:val="1"/>
    <w:pPr>
      <w:autoSpaceDE w:val="0"/>
      <w:autoSpaceDN w:val="0"/>
      <w:jc w:val="left"/>
    </w:pPr>
    <w:rPr>
      <w:rFonts w:ascii="宋体" w:hAnsi="宋体" w:eastAsia="宋体" w:cs="宋体"/>
      <w:kern w:val="0"/>
      <w:sz w:val="28"/>
      <w:szCs w:val="28"/>
      <w:lang w:val="zh-CN" w:bidi="zh-CN"/>
    </w:r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right" w:leader="dot" w:pos="8296"/>
      </w:tabs>
      <w:jc w:val="center"/>
    </w:pPr>
    <w:rPr>
      <w:b/>
    </w:rPr>
  </w:style>
  <w:style w:type="paragraph" w:styleId="9">
    <w:name w:val="toc 2"/>
    <w:basedOn w:val="1"/>
    <w:next w:val="1"/>
    <w:autoRedefine/>
    <w:unhideWhenUsed/>
    <w:qFormat/>
    <w:uiPriority w:val="39"/>
    <w:pPr>
      <w:ind w:left="420" w:leftChars="200"/>
    </w:p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basedOn w:val="12"/>
    <w:link w:val="2"/>
    <w:qFormat/>
    <w:uiPriority w:val="9"/>
    <w:rPr>
      <w:rFonts w:ascii="Times New Roman" w:hAnsi="Times New Roman" w:eastAsia="黑体"/>
      <w:b/>
      <w:bCs/>
      <w:kern w:val="44"/>
      <w:sz w:val="32"/>
      <w:szCs w:val="44"/>
    </w:rPr>
  </w:style>
  <w:style w:type="paragraph" w:styleId="15">
    <w:name w:val="List Paragraph"/>
    <w:basedOn w:val="1"/>
    <w:qFormat/>
    <w:uiPriority w:val="34"/>
    <w:pPr>
      <w:ind w:firstLine="420" w:firstLineChars="200"/>
    </w:pPr>
  </w:style>
  <w:style w:type="character" w:customStyle="1" w:styleId="16">
    <w:name w:val="标题 2 字符"/>
    <w:basedOn w:val="12"/>
    <w:link w:val="3"/>
    <w:qFormat/>
    <w:uiPriority w:val="9"/>
    <w:rPr>
      <w:rFonts w:ascii="Times New Roman" w:hAnsi="Times New Roman" w:eastAsia="仿宋_GB2312" w:cstheme="majorBidi"/>
      <w:b/>
      <w:bCs/>
      <w:sz w:val="32"/>
      <w:szCs w:val="32"/>
    </w:rPr>
  </w:style>
  <w:style w:type="character" w:customStyle="1" w:styleId="17">
    <w:name w:val="页眉 字符"/>
    <w:basedOn w:val="12"/>
    <w:link w:val="7"/>
    <w:qFormat/>
    <w:uiPriority w:val="99"/>
    <w:rPr>
      <w:rFonts w:ascii="Times New Roman" w:hAnsi="Times New Roman" w:eastAsia="仿宋_GB2312"/>
      <w:sz w:val="18"/>
      <w:szCs w:val="18"/>
    </w:rPr>
  </w:style>
  <w:style w:type="character" w:customStyle="1" w:styleId="18">
    <w:name w:val="页脚 字符"/>
    <w:basedOn w:val="12"/>
    <w:link w:val="6"/>
    <w:qFormat/>
    <w:uiPriority w:val="99"/>
    <w:rPr>
      <w:rFonts w:ascii="Times New Roman" w:hAnsi="Times New Roman" w:eastAsia="仿宋_GB2312"/>
      <w:sz w:val="18"/>
      <w:szCs w:val="18"/>
    </w:rPr>
  </w:style>
  <w:style w:type="paragraph" w:customStyle="1" w:styleId="19">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0">
    <w:name w:val="批注框文本 字符"/>
    <w:basedOn w:val="12"/>
    <w:link w:val="5"/>
    <w:semiHidden/>
    <w:qFormat/>
    <w:uiPriority w:val="99"/>
    <w:rPr>
      <w:rFonts w:ascii="Times New Roman" w:hAnsi="Times New Roman" w:eastAsia="仿宋_GB2312"/>
      <w:sz w:val="18"/>
      <w:szCs w:val="18"/>
    </w:rPr>
  </w:style>
  <w:style w:type="character" w:customStyle="1" w:styleId="21">
    <w:name w:val="正文文本 字符"/>
    <w:basedOn w:val="12"/>
    <w:link w:val="4"/>
    <w:qFormat/>
    <w:uiPriority w:val="1"/>
    <w:rPr>
      <w:rFonts w:ascii="宋体" w:hAnsi="宋体" w:eastAsia="宋体" w:cs="宋体"/>
      <w:kern w:val="0"/>
      <w:sz w:val="28"/>
      <w:szCs w:val="2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23298-1FDB-48C7-8AE2-580880F1ED47}">
  <ds:schemaRefs/>
</ds:datastoreItem>
</file>

<file path=docProps/app.xml><?xml version="1.0" encoding="utf-8"?>
<Properties xmlns="http://schemas.openxmlformats.org/officeDocument/2006/extended-properties" xmlns:vt="http://schemas.openxmlformats.org/officeDocument/2006/docPropsVTypes">
  <Template>Normal.dotm</Template>
  <Company>cdland</Company>
  <Pages>7</Pages>
  <Words>1896</Words>
  <Characters>2118</Characters>
  <Lines>91</Lines>
  <Paragraphs>61</Paragraphs>
  <TotalTime>4</TotalTime>
  <ScaleCrop>false</ScaleCrop>
  <LinksUpToDate>false</LinksUpToDate>
  <CharactersWithSpaces>2122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2025-05-20T03:19:00Z</dcterms:created>
  <dc:creator>admin</dc:creator>
  <cp:lastModifiedBy>utopie</cp:lastModifiedBy>
  <cp:lastPrinted>2021-05-12T04:24:00Z</cp:lastPrinted>
  <dcterms:modified xsi:type="dcterms:W3CDTF">2026-01-05T07:06:22Z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eyJoZGlkIjoiOTY0ZjRkZmY1NDFlYjBkYmNkZWI3MjkyNzkzY2JjODIiLCJ1c2VySWQiOiI1NDQwNDQ0ODIifQ==</vt:lpwstr>
  </property>
  <property fmtid="{D5CDD505-2E9C-101B-9397-08002B2CF9AE}" pid="3" name="KSOProductBuildVer">
    <vt:lpwstr>2052-12.1.0.24034</vt:lpwstr>
  </property>
  <property fmtid="{D5CDD505-2E9C-101B-9397-08002B2CF9AE}" pid="4" name="ICV">
    <vt:lpwstr>07072DAC34954351835B4E23265F1A62_12</vt:lpwstr>
  </property>
</Properties>
</file>