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33BB0"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Style w:val="10"/>
          <w:rFonts w:hint="default" w:cs="Times New Roman"/>
          <w:sz w:val="52"/>
          <w:szCs w:val="52"/>
          <w:lang w:val="en-US" w:eastAsia="zh-CN"/>
        </w:rPr>
      </w:pPr>
      <w:r>
        <w:rPr>
          <w:rStyle w:val="10"/>
          <w:rFonts w:hint="eastAsia" w:cs="Times New Roman"/>
          <w:sz w:val="52"/>
          <w:szCs w:val="52"/>
          <w:lang w:val="en-US" w:eastAsia="zh-CN"/>
        </w:rPr>
        <w:t>2026年溧阳天目湖毛尖茶果园智慧农场实施方案</w:t>
      </w:r>
    </w:p>
    <w:p w14:paraId="4D803E14"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360" w:lineRule="auto"/>
        <w:ind w:left="0" w:leftChars="0" w:firstLine="644" w:firstLineChars="200"/>
        <w:jc w:val="both"/>
        <w:textAlignment w:val="auto"/>
        <w:rPr>
          <w:rFonts w:hint="eastAsia" w:ascii="Times New Roman" w:hAnsi="Times New Roman" w:eastAsia="黑体" w:cs="Times New Roman"/>
          <w:snapToGrid w:val="0"/>
          <w:color w:val="000000"/>
          <w:spacing w:val="6"/>
          <w:kern w:val="0"/>
          <w:position w:val="1"/>
          <w:sz w:val="31"/>
          <w:szCs w:val="31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spacing w:val="6"/>
          <w:kern w:val="0"/>
          <w:position w:val="1"/>
          <w:sz w:val="31"/>
          <w:szCs w:val="31"/>
          <w:lang w:eastAsia="zh-CN"/>
        </w:rPr>
        <w:t>一、实施范围</w:t>
      </w:r>
    </w:p>
    <w:p w14:paraId="49296CBE">
      <w:pPr>
        <w:ind w:firstLine="600"/>
        <w:rPr>
          <w:rFonts w:hint="eastAsia"/>
          <w:highlight w:val="none"/>
        </w:rPr>
      </w:pPr>
      <w:r>
        <w:rPr>
          <w:rFonts w:hint="eastAsia"/>
          <w:highlight w:val="none"/>
        </w:rPr>
        <w:t>本项目位于江苏</w:t>
      </w:r>
      <w:r>
        <w:rPr>
          <w:rFonts w:hint="eastAsia"/>
          <w:highlight w:val="none"/>
          <w:lang w:eastAsia="zh-CN"/>
        </w:rPr>
        <w:t>省</w:t>
      </w:r>
      <w:r>
        <w:rPr>
          <w:rFonts w:hint="default"/>
          <w:highlight w:val="none"/>
        </w:rPr>
        <w:t>溧阳市天目湖镇毛尖村委毛尖村</w:t>
      </w:r>
      <w:r>
        <w:rPr>
          <w:rFonts w:hint="eastAsia"/>
          <w:highlight w:val="none"/>
        </w:rPr>
        <w:t>。</w:t>
      </w:r>
    </w:p>
    <w:p w14:paraId="27814A6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44" w:firstLineChars="200"/>
        <w:jc w:val="both"/>
        <w:textAlignment w:val="baseline"/>
        <w:outlineLvl w:val="1"/>
        <w:rPr>
          <w:rFonts w:hint="eastAsia" w:ascii="Times New Roman" w:hAnsi="Times New Roman" w:eastAsia="黑体" w:cs="Times New Roman"/>
          <w:snapToGrid w:val="0"/>
          <w:color w:val="000000"/>
          <w:spacing w:val="6"/>
          <w:kern w:val="0"/>
          <w:position w:val="1"/>
          <w:sz w:val="31"/>
          <w:szCs w:val="31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spacing w:val="6"/>
          <w:kern w:val="0"/>
          <w:position w:val="1"/>
          <w:sz w:val="31"/>
          <w:szCs w:val="31"/>
          <w:lang w:eastAsia="zh-CN"/>
        </w:rPr>
        <w:t>二、实施内容</w:t>
      </w:r>
    </w:p>
    <w:p w14:paraId="622B0A9B">
      <w:pPr>
        <w:ind w:left="0" w:leftChars="0" w:firstLine="600" w:firstLineChars="200"/>
        <w:rPr>
          <w:rFonts w:hint="eastAsia"/>
          <w:highlight w:val="none"/>
        </w:rPr>
      </w:pPr>
      <w:bookmarkStart w:id="0" w:name="_Toc20923"/>
      <w:r>
        <w:rPr>
          <w:rFonts w:hint="eastAsia"/>
          <w:highlight w:val="none"/>
        </w:rPr>
        <w:t>项目将整合信息技术与自动化控制技术，构建一个智慧化管理服务应用系统。通过集成传感器、物联网及大数据分析等先进技术，系统旨在提高生产效率、建立精准种植模型并降低污染。在提升经济效益的同时，充分发挥生态效益，以促进农业的可持续发展。</w:t>
      </w:r>
    </w:p>
    <w:p w14:paraId="0611C67A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firstLine="634" w:firstLineChars="200"/>
        <w:jc w:val="both"/>
        <w:textAlignment w:val="baseline"/>
        <w:rPr>
          <w:rFonts w:hint="eastAsia" w:ascii="Times New Roman" w:hAnsi="Times New Roman" w:eastAsia="仿宋" w:cs="Times New Roman"/>
          <w:b/>
          <w:bCs/>
          <w:snapToGrid w:val="0"/>
          <w:color w:val="000000"/>
          <w:spacing w:val="3"/>
          <w:kern w:val="0"/>
          <w:position w:val="1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napToGrid w:val="0"/>
          <w:color w:val="000000"/>
          <w:spacing w:val="3"/>
          <w:kern w:val="0"/>
          <w:position w:val="1"/>
          <w:sz w:val="31"/>
          <w:szCs w:val="31"/>
          <w:lang w:val="en-US" w:eastAsia="zh-CN"/>
        </w:rPr>
        <w:t>可视化展示设备</w:t>
      </w:r>
      <w:bookmarkEnd w:id="0"/>
    </w:p>
    <w:p w14:paraId="20D5D05A">
      <w:pPr>
        <w:ind w:firstLine="600"/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</w:rPr>
        <w:t>在办公区域建设集中监控展示环境，用于实时呈现</w:t>
      </w:r>
      <w:r>
        <w:rPr>
          <w:rFonts w:hint="eastAsia"/>
          <w:highlight w:val="none"/>
          <w:lang w:eastAsia="zh-CN"/>
        </w:rPr>
        <w:t>农场</w:t>
      </w:r>
      <w:r>
        <w:rPr>
          <w:rFonts w:hint="eastAsia"/>
          <w:highlight w:val="none"/>
        </w:rPr>
        <w:t>各类监测数据、视频图像及设备运行状态。通过大屏展示系统，管理人员可直观查看土壤墒情、气象条件、作物长势、虫害发生情况以及灌溉设备运行状态等信息，实现</w:t>
      </w:r>
      <w:r>
        <w:rPr>
          <w:rFonts w:hint="eastAsia"/>
          <w:highlight w:val="none"/>
          <w:lang w:eastAsia="zh-CN"/>
        </w:rPr>
        <w:t>农场</w:t>
      </w:r>
      <w:r>
        <w:rPr>
          <w:rFonts w:hint="eastAsia"/>
          <w:highlight w:val="none"/>
        </w:rPr>
        <w:t>生产管理的可视化集中监控，为日常监管和应急指挥提供直观的信息支撑。</w:t>
      </w:r>
    </w:p>
    <w:p w14:paraId="04AD3546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firstLine="634" w:firstLineChars="200"/>
        <w:jc w:val="both"/>
        <w:textAlignment w:val="baseline"/>
        <w:rPr>
          <w:rFonts w:hint="eastAsia" w:ascii="Times New Roman" w:hAnsi="Times New Roman" w:eastAsia="仿宋" w:cs="Times New Roman"/>
          <w:b/>
          <w:bCs/>
          <w:snapToGrid w:val="0"/>
          <w:color w:val="000000"/>
          <w:spacing w:val="3"/>
          <w:kern w:val="0"/>
          <w:position w:val="1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napToGrid w:val="0"/>
          <w:color w:val="000000"/>
          <w:spacing w:val="3"/>
          <w:kern w:val="0"/>
          <w:position w:val="1"/>
          <w:sz w:val="31"/>
          <w:szCs w:val="31"/>
          <w:lang w:val="en-US" w:eastAsia="zh-CN"/>
        </w:rPr>
        <w:t>农情监测系统</w:t>
      </w:r>
    </w:p>
    <w:p w14:paraId="0BFC8557">
      <w:pPr>
        <w:ind w:firstLine="600"/>
        <w:rPr>
          <w:rFonts w:hint="eastAsia"/>
          <w:highlight w:val="none"/>
        </w:rPr>
      </w:pPr>
      <w:r>
        <w:rPr>
          <w:rFonts w:hint="eastAsia"/>
          <w:highlight w:val="none"/>
        </w:rPr>
        <w:t>通过在</w:t>
      </w:r>
      <w:r>
        <w:rPr>
          <w:rFonts w:hint="eastAsia"/>
          <w:highlight w:val="none"/>
          <w:lang w:eastAsia="zh-CN"/>
        </w:rPr>
        <w:t>茶果园智慧农场</w:t>
      </w:r>
      <w:r>
        <w:rPr>
          <w:rFonts w:hint="eastAsia"/>
          <w:highlight w:val="none"/>
        </w:rPr>
        <w:t>在</w:t>
      </w:r>
      <w:r>
        <w:rPr>
          <w:rFonts w:hint="eastAsia"/>
          <w:highlight w:val="none"/>
          <w:lang w:eastAsia="zh-CN"/>
        </w:rPr>
        <w:t>农场</w:t>
      </w:r>
      <w:r>
        <w:rPr>
          <w:rFonts w:hint="eastAsia"/>
          <w:highlight w:val="none"/>
        </w:rPr>
        <w:t>内部署多类型监测设备，实现对土壤、气象、作物长势及病虫害发生情况的综合感知。</w:t>
      </w:r>
    </w:p>
    <w:p w14:paraId="112C21EA">
      <w:pPr>
        <w:ind w:left="0" w:leftChars="0" w:firstLine="600" w:firstLineChars="200"/>
        <w:rPr>
          <w:rFonts w:hint="eastAsia"/>
          <w:highlight w:val="none"/>
        </w:rPr>
      </w:pP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</w:rPr>
        <w:t>土壤墒情监测：布设土壤墒情监测站点，实时采集土壤水分、土壤温度、土壤电导率及pH值等数据，用于掌握土壤水分变化规律和盐分状况，为精准灌溉提供决策依据。设备采用太阳能供电，满足</w:t>
      </w:r>
      <w:r>
        <w:rPr>
          <w:rFonts w:hint="eastAsia"/>
          <w:highlight w:val="none"/>
          <w:lang w:val="en-US" w:eastAsia="zh-CN"/>
        </w:rPr>
        <w:t>室外</w:t>
      </w:r>
      <w:r>
        <w:rPr>
          <w:rFonts w:hint="eastAsia"/>
          <w:highlight w:val="none"/>
        </w:rPr>
        <w:t>长期运行需求。</w:t>
      </w:r>
    </w:p>
    <w:p w14:paraId="0042DCF1">
      <w:pPr>
        <w:ind w:firstLine="600"/>
        <w:rPr>
          <w:rFonts w:hint="eastAsia"/>
          <w:highlight w:val="none"/>
        </w:rPr>
      </w:pPr>
      <w:r>
        <w:rPr>
          <w:rFonts w:hint="eastAsia"/>
          <w:highlight w:val="none"/>
        </w:rPr>
        <w:t>（2）气象环境监测：布设农业气象监测站点，采集空气温湿度、大气压力、光照强度、二氧化碳浓度、风速及降雨量等气象要素，用于分析小气候特征，为农事作业安排和灾害预警提供数据支撑。</w:t>
      </w:r>
    </w:p>
    <w:p w14:paraId="246A6C20">
      <w:pPr>
        <w:ind w:firstLine="600"/>
        <w:rPr>
          <w:rFonts w:hint="eastAsia"/>
          <w:highlight w:val="none"/>
        </w:rPr>
      </w:pPr>
      <w:r>
        <w:rPr>
          <w:rFonts w:hint="eastAsia"/>
          <w:highlight w:val="none"/>
        </w:rPr>
        <w:t>（3）作物长势监测：布设苗情监测设备，配置具备光学变倍功能的高清球机，对作物生长全过程进行定时抓拍与远程查看，直观反映作物长势、叶色变化及倒伏等情况，辅助管理人员及时掌握田间动态。</w:t>
      </w:r>
    </w:p>
    <w:p w14:paraId="6B9EE895">
      <w:pPr>
        <w:ind w:firstLine="600"/>
        <w:rPr>
          <w:rFonts w:hint="eastAsia"/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）病虫害监测：布设虫情测报设备，通过诱虫光源吸引害虫，利用高清成像技术完成害虫诱捕、拍照与自动识别，用于掌握害虫发生种类、数量及消长规律，为病虫害防治提供依据。</w:t>
      </w:r>
    </w:p>
    <w:p w14:paraId="27B34066">
      <w:pPr>
        <w:ind w:firstLine="600"/>
        <w:rPr>
          <w:rFonts w:hint="eastAsia"/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）视频监控：布设高清视频监控设备，对</w:t>
      </w:r>
      <w:r>
        <w:rPr>
          <w:rFonts w:hint="eastAsia"/>
          <w:highlight w:val="none"/>
          <w:lang w:eastAsia="zh-CN"/>
        </w:rPr>
        <w:t>农场</w:t>
      </w:r>
      <w:r>
        <w:rPr>
          <w:rFonts w:hint="eastAsia"/>
          <w:highlight w:val="none"/>
        </w:rPr>
        <w:t>主要出入口、生产区域及关键设施进行全天候监控，支持夜视及移动侦测报警，实现</w:t>
      </w:r>
      <w:r>
        <w:rPr>
          <w:rFonts w:hint="eastAsia"/>
          <w:highlight w:val="none"/>
          <w:lang w:eastAsia="zh-CN"/>
        </w:rPr>
        <w:t>农场</w:t>
      </w:r>
      <w:r>
        <w:rPr>
          <w:rFonts w:hint="eastAsia"/>
          <w:highlight w:val="none"/>
        </w:rPr>
        <w:t>安防和远程巡查，视频资料可存储与回查。</w:t>
      </w:r>
    </w:p>
    <w:p w14:paraId="24223598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firstLine="634" w:firstLineChars="200"/>
        <w:jc w:val="both"/>
        <w:textAlignment w:val="baseline"/>
        <w:rPr>
          <w:rFonts w:hint="eastAsia" w:ascii="Times New Roman" w:hAnsi="Times New Roman" w:eastAsia="仿宋" w:cs="Times New Roman"/>
          <w:b/>
          <w:bCs/>
          <w:snapToGrid w:val="0"/>
          <w:color w:val="000000"/>
          <w:spacing w:val="3"/>
          <w:kern w:val="0"/>
          <w:position w:val="1"/>
          <w:sz w:val="31"/>
          <w:szCs w:val="31"/>
          <w:lang w:val="en-US" w:eastAsia="zh-CN"/>
        </w:rPr>
      </w:pPr>
      <w:bookmarkStart w:id="1" w:name="_Toc13038"/>
      <w:r>
        <w:rPr>
          <w:rFonts w:hint="eastAsia" w:ascii="Times New Roman" w:hAnsi="Times New Roman" w:eastAsia="仿宋" w:cs="Times New Roman"/>
          <w:b/>
          <w:bCs/>
          <w:snapToGrid w:val="0"/>
          <w:color w:val="000000"/>
          <w:spacing w:val="3"/>
          <w:kern w:val="0"/>
          <w:position w:val="1"/>
          <w:sz w:val="31"/>
          <w:szCs w:val="31"/>
          <w:lang w:val="en-US" w:eastAsia="zh-CN"/>
        </w:rPr>
        <w:t>水肥一体化应用</w:t>
      </w:r>
      <w:bookmarkEnd w:id="1"/>
      <w:r>
        <w:rPr>
          <w:rFonts w:hint="eastAsia" w:ascii="Times New Roman" w:hAnsi="Times New Roman" w:eastAsia="仿宋" w:cs="Times New Roman"/>
          <w:b/>
          <w:bCs/>
          <w:snapToGrid w:val="0"/>
          <w:color w:val="000000"/>
          <w:spacing w:val="3"/>
          <w:kern w:val="0"/>
          <w:position w:val="1"/>
          <w:sz w:val="31"/>
          <w:szCs w:val="31"/>
          <w:lang w:val="en-US" w:eastAsia="zh-CN"/>
        </w:rPr>
        <w:t>系统</w:t>
      </w:r>
    </w:p>
    <w:p w14:paraId="5646853B">
      <w:pPr>
        <w:ind w:firstLine="600"/>
        <w:rPr>
          <w:rFonts w:hint="eastAsia"/>
          <w:highlight w:val="none"/>
        </w:rPr>
      </w:pPr>
      <w:r>
        <w:rPr>
          <w:rFonts w:hint="eastAsia"/>
          <w:highlight w:val="none"/>
        </w:rPr>
        <w:t>建设水肥一体化系统</w:t>
      </w:r>
      <w:r>
        <w:rPr>
          <w:rFonts w:hint="eastAsia"/>
          <w:highlight w:val="none"/>
          <w:lang w:val="en-US" w:eastAsia="zh-CN"/>
        </w:rPr>
        <w:t>及配套基础设施</w:t>
      </w:r>
      <w:r>
        <w:rPr>
          <w:rFonts w:hint="eastAsia"/>
          <w:highlight w:val="none"/>
        </w:rPr>
        <w:t>，对灌溉水源进行过滤处理，保障灌溉水质。配置施肥设备，将可溶性肥料与灌溉水均匀混合后输送至田间。配套建设泵房供水系统，满足灌溉水压与供水稳定性要求。铺设输水管网，配置喷灌设备，实现田间均匀灌溉。通过上述设施，系统可根据土壤水分状况及作物需水需肥规律，实现按需灌溉与精准施肥，提高水肥利用效率。</w:t>
      </w:r>
    </w:p>
    <w:p w14:paraId="1D64A6A3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firstLine="634" w:firstLineChars="200"/>
        <w:jc w:val="both"/>
        <w:textAlignment w:val="baseline"/>
        <w:rPr>
          <w:rFonts w:hint="eastAsia" w:ascii="Times New Roman" w:hAnsi="Times New Roman" w:eastAsia="仿宋" w:cs="Times New Roman"/>
          <w:b/>
          <w:bCs/>
          <w:snapToGrid w:val="0"/>
          <w:color w:val="000000"/>
          <w:spacing w:val="3"/>
          <w:kern w:val="0"/>
          <w:position w:val="1"/>
          <w:sz w:val="31"/>
          <w:szCs w:val="31"/>
          <w:lang w:val="en-US" w:eastAsia="zh-CN"/>
        </w:rPr>
      </w:pPr>
      <w:bookmarkStart w:id="2" w:name="_Toc1929"/>
      <w:r>
        <w:rPr>
          <w:rFonts w:hint="eastAsia" w:ascii="Times New Roman" w:hAnsi="Times New Roman" w:eastAsia="仿宋" w:cs="Times New Roman"/>
          <w:b/>
          <w:bCs/>
          <w:snapToGrid w:val="0"/>
          <w:color w:val="000000"/>
          <w:spacing w:val="3"/>
          <w:kern w:val="0"/>
          <w:position w:val="1"/>
          <w:sz w:val="31"/>
          <w:szCs w:val="31"/>
          <w:lang w:val="en-US" w:eastAsia="zh-CN"/>
        </w:rPr>
        <w:t>智能节水灌溉系统</w:t>
      </w:r>
      <w:bookmarkEnd w:id="2"/>
    </w:p>
    <w:p w14:paraId="710C2AFC">
      <w:pPr>
        <w:ind w:firstLine="600"/>
        <w:rPr>
          <w:rFonts w:hint="eastAsia"/>
          <w:highlight w:val="none"/>
        </w:rPr>
      </w:pPr>
      <w:r>
        <w:rPr>
          <w:rFonts w:hint="eastAsia"/>
          <w:highlight w:val="none"/>
        </w:rPr>
        <w:t>对</w:t>
      </w:r>
      <w:r>
        <w:rPr>
          <w:rFonts w:hint="eastAsia"/>
          <w:highlight w:val="none"/>
          <w:lang w:eastAsia="zh-CN"/>
        </w:rPr>
        <w:t>农场</w:t>
      </w:r>
      <w:r>
        <w:rPr>
          <w:rFonts w:hint="eastAsia"/>
          <w:highlight w:val="none"/>
        </w:rPr>
        <w:t>灌溉设备进行智能化升级，配置无线通讯模块与电磁控制阀门，实现阀门的远程开关与状态监测。通过管理平台可对灌溉设备的工作模式进行设置，支持手动控制、定时控制及基于传感器数据的自动控制，可根据预设策略执行灌溉作业。系统记录所有操作信息，便于追溯与优化管理。</w:t>
      </w:r>
    </w:p>
    <w:p w14:paraId="0556B70F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firstLine="634" w:firstLineChars="200"/>
        <w:jc w:val="both"/>
        <w:textAlignment w:val="baseline"/>
        <w:rPr>
          <w:rFonts w:hint="eastAsia" w:ascii="Times New Roman" w:hAnsi="Times New Roman" w:eastAsia="仿宋" w:cs="Times New Roman"/>
          <w:b/>
          <w:bCs/>
          <w:snapToGrid w:val="0"/>
          <w:color w:val="000000"/>
          <w:spacing w:val="3"/>
          <w:kern w:val="0"/>
          <w:position w:val="1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napToGrid w:val="0"/>
          <w:color w:val="000000"/>
          <w:spacing w:val="3"/>
          <w:kern w:val="0"/>
          <w:position w:val="1"/>
          <w:sz w:val="31"/>
          <w:szCs w:val="31"/>
          <w:lang w:val="en-US" w:eastAsia="zh-CN"/>
        </w:rPr>
        <w:t>智能农业管理平台系统</w:t>
      </w:r>
    </w:p>
    <w:p w14:paraId="2C171934">
      <w:pPr>
        <w:ind w:firstLine="600"/>
        <w:rPr>
          <w:rFonts w:hint="default" w:eastAsia="仿宋" w:asciiTheme="minorHAnsi" w:hAnsiTheme="minorHAnsi" w:cstheme="minorBidi"/>
          <w:kern w:val="2"/>
          <w:sz w:val="30"/>
          <w:szCs w:val="24"/>
          <w:highlight w:val="none"/>
          <w:lang w:val="en-US" w:eastAsia="zh-CN" w:bidi="ar-SA"/>
        </w:rPr>
      </w:pPr>
      <w:r>
        <w:rPr>
          <w:rFonts w:hint="eastAsia"/>
        </w:rPr>
        <w:t>为</w:t>
      </w:r>
      <w:r>
        <w:rPr>
          <w:rFonts w:hint="eastAsia"/>
          <w:lang w:val="en-US" w:eastAsia="zh-CN"/>
        </w:rPr>
        <w:t>农场</w:t>
      </w:r>
      <w:r>
        <w:rPr>
          <w:rFonts w:hint="eastAsia"/>
        </w:rPr>
        <w:t>内的各个设备加装智能控制模块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包括移动端app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包括：全景监测、墒情监测、气象监测、苗情监测、虫情监测、智慧环控、视频监控；</w:t>
      </w:r>
      <w:r>
        <w:rPr>
          <w:rFonts w:hint="eastAsia"/>
        </w:rPr>
        <w:t>实现对设备的远程控制和智能化管理。</w:t>
      </w:r>
    </w:p>
    <w:p w14:paraId="0FDB56A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44" w:firstLineChars="200"/>
        <w:jc w:val="both"/>
        <w:textAlignment w:val="baseline"/>
        <w:outlineLvl w:val="1"/>
        <w:rPr>
          <w:rFonts w:hint="eastAsia" w:ascii="Times New Roman" w:hAnsi="Times New Roman" w:eastAsia="黑体" w:cs="Times New Roman"/>
          <w:snapToGrid w:val="0"/>
          <w:color w:val="000000"/>
          <w:spacing w:val="6"/>
          <w:kern w:val="0"/>
          <w:position w:val="1"/>
          <w:sz w:val="31"/>
          <w:szCs w:val="31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spacing w:val="6"/>
          <w:kern w:val="0"/>
          <w:position w:val="1"/>
          <w:sz w:val="31"/>
          <w:szCs w:val="31"/>
          <w:lang w:eastAsia="zh-CN"/>
        </w:rPr>
        <w:t>三、经费预算</w:t>
      </w:r>
    </w:p>
    <w:p w14:paraId="0EF64701">
      <w:pPr>
        <w:ind w:firstLine="600"/>
        <w:rPr>
          <w:rFonts w:hint="eastAsia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napToGrid w:val="0"/>
          <w:color w:val="000000"/>
          <w:spacing w:val="-1"/>
          <w:kern w:val="0"/>
          <w:sz w:val="31"/>
          <w:szCs w:val="31"/>
          <w:lang w:val="en-US" w:eastAsia="zh-CN" w:bidi="ar-SA"/>
        </w:rPr>
        <w:t>（一）资金来源：</w:t>
      </w:r>
      <w:r>
        <w:rPr>
          <w:rFonts w:hint="eastAsia"/>
          <w:highlight w:val="none"/>
          <w:lang w:eastAsia="zh-CN"/>
        </w:rPr>
        <w:t>项目总投资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9"/>
          <w:kern w:val="0"/>
          <w:sz w:val="31"/>
          <w:szCs w:val="31"/>
          <w:u w:val="single"/>
          <w:lang w:val="en-US" w:eastAsia="zh-CN" w:bidi="ar-SA"/>
        </w:rPr>
        <w:t>160.5</w:t>
      </w:r>
      <w:r>
        <w:rPr>
          <w:rFonts w:hint="eastAsia"/>
          <w:highlight w:val="none"/>
          <w:lang w:eastAsia="zh-CN"/>
        </w:rPr>
        <w:t>万元，来源为企业自筹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9"/>
          <w:kern w:val="0"/>
          <w:sz w:val="31"/>
          <w:szCs w:val="31"/>
          <w:u w:val="single"/>
          <w:lang w:val="en-US" w:eastAsia="zh-CN" w:bidi="ar-SA"/>
        </w:rPr>
        <w:t>112.35</w:t>
      </w:r>
      <w:r>
        <w:rPr>
          <w:rFonts w:hint="eastAsia"/>
          <w:highlight w:val="none"/>
          <w:lang w:val="en-US" w:eastAsia="zh-CN"/>
        </w:rPr>
        <w:t>万元，</w:t>
      </w:r>
      <w:r>
        <w:rPr>
          <w:rFonts w:hint="eastAsia"/>
          <w:highlight w:val="none"/>
          <w:lang w:eastAsia="zh-CN"/>
        </w:rPr>
        <w:t>省级现代农业</w:t>
      </w:r>
      <w:r>
        <w:rPr>
          <w:rFonts w:hint="default"/>
          <w:highlight w:val="none"/>
          <w:lang w:eastAsia="zh-CN"/>
        </w:rPr>
        <w:t>专项</w:t>
      </w:r>
      <w:r>
        <w:rPr>
          <w:rFonts w:hint="eastAsia"/>
          <w:highlight w:val="none"/>
          <w:lang w:eastAsia="zh-CN"/>
        </w:rPr>
        <w:t>资金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9"/>
          <w:kern w:val="0"/>
          <w:sz w:val="31"/>
          <w:szCs w:val="31"/>
          <w:u w:val="single"/>
          <w:lang w:val="en-US" w:eastAsia="zh-CN" w:bidi="ar-SA"/>
        </w:rPr>
        <w:t>48.15</w:t>
      </w:r>
      <w:r>
        <w:rPr>
          <w:rFonts w:hint="eastAsia"/>
          <w:highlight w:val="none"/>
          <w:lang w:val="en-US" w:eastAsia="zh-CN"/>
        </w:rPr>
        <w:t>万元</w:t>
      </w:r>
      <w:r>
        <w:rPr>
          <w:rFonts w:hint="eastAsia"/>
          <w:highlight w:val="none"/>
          <w:lang w:eastAsia="zh-CN"/>
        </w:rPr>
        <w:t>。</w:t>
      </w:r>
    </w:p>
    <w:p w14:paraId="780259E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78" w:firstLineChars="200"/>
        <w:jc w:val="both"/>
        <w:textAlignment w:val="baseline"/>
        <w:rPr>
          <w:rFonts w:hint="eastAsia" w:ascii="Times New Roman" w:hAnsi="Times New Roman" w:eastAsia="仿宋" w:cs="Times New Roman"/>
          <w:b/>
          <w:bCs/>
          <w:snapToGrid w:val="0"/>
          <w:color w:val="000000"/>
          <w:spacing w:val="-11"/>
          <w:kern w:val="0"/>
          <w:sz w:val="31"/>
          <w:szCs w:val="31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napToGrid w:val="0"/>
          <w:color w:val="000000"/>
          <w:spacing w:val="-11"/>
          <w:kern w:val="0"/>
          <w:sz w:val="31"/>
          <w:szCs w:val="31"/>
          <w:lang w:eastAsia="zh-CN"/>
        </w:rPr>
        <w:t>（二）明细预算</w:t>
      </w:r>
    </w:p>
    <w:p w14:paraId="51A31758">
      <w:pPr>
        <w:ind w:firstLine="60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单位：万元</w:t>
      </w:r>
      <w:bookmarkStart w:id="3" w:name="_GoBack"/>
      <w:bookmarkEnd w:id="3"/>
    </w:p>
    <w:tbl>
      <w:tblPr>
        <w:tblStyle w:val="11"/>
        <w:tblW w:w="88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7"/>
        <w:gridCol w:w="1162"/>
        <w:gridCol w:w="1482"/>
        <w:gridCol w:w="1406"/>
        <w:gridCol w:w="1500"/>
        <w:gridCol w:w="1495"/>
      </w:tblGrid>
      <w:tr w14:paraId="5897C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777" w:type="dxa"/>
            <w:vMerge w:val="restart"/>
            <w:tcBorders>
              <w:bottom w:val="nil"/>
            </w:tcBorders>
            <w:vAlign w:val="center"/>
          </w:tcPr>
          <w:p w14:paraId="425E3F5A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实施内容</w:t>
            </w:r>
          </w:p>
        </w:tc>
        <w:tc>
          <w:tcPr>
            <w:tcW w:w="7045" w:type="dxa"/>
            <w:gridSpan w:val="5"/>
            <w:vAlign w:val="center"/>
          </w:tcPr>
          <w:p w14:paraId="494CA0F2">
            <w:pPr>
              <w:ind w:firstLine="6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资  金  来  源</w:t>
            </w:r>
          </w:p>
        </w:tc>
      </w:tr>
      <w:tr w14:paraId="36430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777" w:type="dxa"/>
            <w:vMerge w:val="continue"/>
            <w:tcBorders>
              <w:top w:val="nil"/>
            </w:tcBorders>
            <w:vAlign w:val="center"/>
          </w:tcPr>
          <w:p w14:paraId="015661DC">
            <w:pPr>
              <w:ind w:firstLine="6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 w14:paraId="7450B059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482" w:type="dxa"/>
            <w:vAlign w:val="center"/>
          </w:tcPr>
          <w:p w14:paraId="5D0A35A2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省级财政</w:t>
            </w:r>
          </w:p>
          <w:p w14:paraId="50102A46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补助资金</w:t>
            </w:r>
          </w:p>
        </w:tc>
        <w:tc>
          <w:tcPr>
            <w:tcW w:w="1406" w:type="dxa"/>
            <w:vAlign w:val="center"/>
          </w:tcPr>
          <w:p w14:paraId="4EA111C9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市县财政</w:t>
            </w:r>
          </w:p>
          <w:p w14:paraId="1CB73090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补助资金</w:t>
            </w:r>
          </w:p>
        </w:tc>
        <w:tc>
          <w:tcPr>
            <w:tcW w:w="1500" w:type="dxa"/>
            <w:vAlign w:val="center"/>
          </w:tcPr>
          <w:p w14:paraId="6AF5EB5E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实施单位</w:t>
            </w:r>
          </w:p>
          <w:p w14:paraId="1AF2B40D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自筹资金</w:t>
            </w:r>
          </w:p>
        </w:tc>
        <w:tc>
          <w:tcPr>
            <w:tcW w:w="1495" w:type="dxa"/>
            <w:vAlign w:val="center"/>
          </w:tcPr>
          <w:p w14:paraId="10238AB7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其他资金</w:t>
            </w:r>
          </w:p>
        </w:tc>
      </w:tr>
      <w:tr w14:paraId="3832C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77" w:type="dxa"/>
            <w:vAlign w:val="center"/>
          </w:tcPr>
          <w:p w14:paraId="28EAAD4C"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智慧农场建设</w:t>
            </w:r>
          </w:p>
        </w:tc>
        <w:tc>
          <w:tcPr>
            <w:tcW w:w="1162" w:type="dxa"/>
            <w:vAlign w:val="center"/>
          </w:tcPr>
          <w:p w14:paraId="244B2CA9"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160.5</w:t>
            </w:r>
          </w:p>
        </w:tc>
        <w:tc>
          <w:tcPr>
            <w:tcW w:w="1482" w:type="dxa"/>
            <w:vAlign w:val="center"/>
          </w:tcPr>
          <w:p w14:paraId="0099FD8B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48.15</w:t>
            </w:r>
          </w:p>
        </w:tc>
        <w:tc>
          <w:tcPr>
            <w:tcW w:w="1406" w:type="dxa"/>
            <w:vAlign w:val="center"/>
          </w:tcPr>
          <w:p w14:paraId="74B5AC49">
            <w:pPr>
              <w:ind w:firstLine="60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DB07274"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112.35</w:t>
            </w:r>
          </w:p>
        </w:tc>
        <w:tc>
          <w:tcPr>
            <w:tcW w:w="1495" w:type="dxa"/>
            <w:vAlign w:val="center"/>
          </w:tcPr>
          <w:p w14:paraId="27DE7EDF">
            <w:pPr>
              <w:ind w:firstLine="60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262D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77" w:type="dxa"/>
            <w:vAlign w:val="center"/>
          </w:tcPr>
          <w:p w14:paraId="273D2F55"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62" w:type="dxa"/>
            <w:vAlign w:val="center"/>
          </w:tcPr>
          <w:p w14:paraId="45C94481"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160.5</w:t>
            </w:r>
          </w:p>
        </w:tc>
        <w:tc>
          <w:tcPr>
            <w:tcW w:w="1482" w:type="dxa"/>
            <w:vAlign w:val="center"/>
          </w:tcPr>
          <w:p w14:paraId="74D5429B">
            <w:pPr>
              <w:ind w:firstLine="480" w:firstLineChars="20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48.15</w:t>
            </w:r>
          </w:p>
        </w:tc>
        <w:tc>
          <w:tcPr>
            <w:tcW w:w="1406" w:type="dxa"/>
            <w:vAlign w:val="center"/>
          </w:tcPr>
          <w:p w14:paraId="2895B24A">
            <w:pPr>
              <w:ind w:firstLine="480" w:firstLineChars="20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0FF10A30"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112.35</w:t>
            </w:r>
          </w:p>
        </w:tc>
        <w:tc>
          <w:tcPr>
            <w:tcW w:w="1495" w:type="dxa"/>
            <w:vAlign w:val="center"/>
          </w:tcPr>
          <w:p w14:paraId="3E76FFEB">
            <w:pPr>
              <w:ind w:firstLine="60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133F4C64">
      <w:pPr>
        <w:pStyle w:val="2"/>
        <w:rPr>
          <w:rFonts w:hint="eastAsia"/>
          <w:lang w:val="en-US" w:eastAsia="zh-CN"/>
        </w:rPr>
      </w:pPr>
    </w:p>
    <w:p w14:paraId="13EE89D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32" w:firstLineChars="200"/>
        <w:jc w:val="both"/>
        <w:textAlignment w:val="baseline"/>
        <w:outlineLvl w:val="1"/>
        <w:rPr>
          <w:rFonts w:hint="eastAsia" w:ascii="Times New Roman" w:hAnsi="Times New Roman" w:eastAsia="黑体" w:cs="Times New Roman"/>
          <w:snapToGrid w:val="0"/>
          <w:color w:val="000000"/>
          <w:spacing w:val="3"/>
          <w:kern w:val="0"/>
          <w:position w:val="1"/>
          <w:sz w:val="31"/>
          <w:szCs w:val="31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spacing w:val="3"/>
          <w:kern w:val="0"/>
          <w:position w:val="1"/>
          <w:sz w:val="31"/>
          <w:szCs w:val="31"/>
          <w:lang w:eastAsia="zh-CN"/>
        </w:rPr>
        <w:t>四、实施进度</w:t>
      </w:r>
    </w:p>
    <w:p w14:paraId="7C93256E">
      <w:pPr>
        <w:ind w:firstLine="6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本项目实施期限为10个月 ，时间自2026 年3月起至2026年12月止，实施进度安排如下：</w:t>
      </w:r>
    </w:p>
    <w:p w14:paraId="41421F6C">
      <w:pPr>
        <w:ind w:firstLine="6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（一）2026年3-4月：项目实施方案制定； </w:t>
      </w:r>
    </w:p>
    <w:p w14:paraId="561E4BD8">
      <w:pPr>
        <w:ind w:firstLine="600"/>
        <w:rPr>
          <w:rFonts w:hint="default" w:eastAsia="仿宋" w:asciiTheme="minorHAnsi" w:hAnsiTheme="minorHAnsi" w:cstheme="minorBidi"/>
          <w:kern w:val="2"/>
          <w:sz w:val="30"/>
          <w:szCs w:val="24"/>
          <w:highlight w:val="none"/>
          <w:lang w:val="en-US" w:eastAsia="zh-CN" w:bidi="ar-SA"/>
        </w:rPr>
      </w:pPr>
      <w:r>
        <w:rPr>
          <w:rFonts w:hint="eastAsia" w:eastAsia="仿宋" w:asciiTheme="minorHAnsi" w:hAnsiTheme="minorHAnsi" w:cstheme="minorBidi"/>
          <w:kern w:val="2"/>
          <w:sz w:val="30"/>
          <w:szCs w:val="24"/>
          <w:highlight w:val="none"/>
          <w:lang w:val="en-US" w:eastAsia="zh-CN" w:bidi="ar-SA"/>
        </w:rPr>
        <w:t>（二）</w:t>
      </w:r>
      <w:r>
        <w:rPr>
          <w:rFonts w:hint="eastAsia" w:cstheme="minorBidi"/>
          <w:kern w:val="2"/>
          <w:sz w:val="30"/>
          <w:szCs w:val="24"/>
          <w:highlight w:val="none"/>
          <w:lang w:val="en-US" w:eastAsia="zh-CN" w:bidi="ar-SA"/>
        </w:rPr>
        <w:t>2026年6月：</w:t>
      </w:r>
      <w:r>
        <w:rPr>
          <w:rFonts w:hint="eastAsia"/>
          <w:highlight w:val="none"/>
          <w:lang w:val="en-US" w:eastAsia="zh-CN"/>
        </w:rPr>
        <w:t>项目招投标；</w:t>
      </w:r>
    </w:p>
    <w:p w14:paraId="522489CB">
      <w:pPr>
        <w:ind w:firstLine="6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（三）2026年6月-2026年10月：完成硬件设备采购安装，软件调试，系统安装调试，软硬件系统集成；</w:t>
      </w:r>
    </w:p>
    <w:p w14:paraId="28C4AF59">
      <w:pPr>
        <w:ind w:firstLine="6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（四）2026年11-12月：项目总结、审计验收、报账等；</w:t>
      </w:r>
    </w:p>
    <w:p w14:paraId="34349183">
      <w:pPr>
        <w:pStyle w:val="2"/>
        <w:rPr>
          <w:rFonts w:hint="eastAsia"/>
          <w:highlight w:val="none"/>
          <w:lang w:val="en-US" w:eastAsia="zh-CN"/>
        </w:rPr>
      </w:pPr>
    </w:p>
    <w:p w14:paraId="044F7179">
      <w:pPr>
        <w:pStyle w:val="2"/>
        <w:rPr>
          <w:rFonts w:hint="eastAsia"/>
          <w:highlight w:val="none"/>
          <w:lang w:val="en-US" w:eastAsia="zh-CN"/>
        </w:rPr>
      </w:pPr>
    </w:p>
    <w:p w14:paraId="74814B41">
      <w:pPr>
        <w:numPr>
          <w:ilvl w:val="0"/>
          <w:numId w:val="2"/>
        </w:numPr>
        <w:ind w:firstLine="600"/>
        <w:rPr>
          <w:rFonts w:hint="eastAsia" w:ascii="黑体" w:hAnsi="黑体" w:eastAsia="黑体" w:cs="黑体"/>
          <w:highlight w:val="none"/>
          <w:lang w:eastAsia="zh-CN"/>
        </w:rPr>
      </w:pPr>
      <w:r>
        <w:rPr>
          <w:rFonts w:hint="eastAsia" w:ascii="黑体" w:hAnsi="黑体" w:eastAsia="黑体" w:cs="黑体"/>
          <w:highlight w:val="none"/>
          <w:lang w:eastAsia="zh-CN"/>
        </w:rPr>
        <w:t>绩效目标</w:t>
      </w:r>
    </w:p>
    <w:tbl>
      <w:tblPr>
        <w:tblStyle w:val="7"/>
        <w:tblW w:w="8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63"/>
        <w:gridCol w:w="1525"/>
        <w:gridCol w:w="3050"/>
        <w:gridCol w:w="1184"/>
      </w:tblGrid>
      <w:tr w14:paraId="6F57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780" w:type="dxa"/>
            <w:vAlign w:val="center"/>
          </w:tcPr>
          <w:p w14:paraId="311F4041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463" w:type="dxa"/>
            <w:vAlign w:val="center"/>
          </w:tcPr>
          <w:p w14:paraId="154881D5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一级指标</w:t>
            </w:r>
          </w:p>
        </w:tc>
        <w:tc>
          <w:tcPr>
            <w:tcW w:w="1525" w:type="dxa"/>
            <w:vAlign w:val="center"/>
          </w:tcPr>
          <w:p w14:paraId="5F293898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二级指标</w:t>
            </w:r>
          </w:p>
        </w:tc>
        <w:tc>
          <w:tcPr>
            <w:tcW w:w="3050" w:type="dxa"/>
            <w:vAlign w:val="center"/>
          </w:tcPr>
          <w:p w14:paraId="72256B8D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三级指标</w:t>
            </w:r>
          </w:p>
          <w:p w14:paraId="41C5B550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（具体指标名称）</w:t>
            </w:r>
          </w:p>
        </w:tc>
        <w:tc>
          <w:tcPr>
            <w:tcW w:w="1184" w:type="dxa"/>
            <w:vAlign w:val="center"/>
          </w:tcPr>
          <w:p w14:paraId="153F2A46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指标值</w:t>
            </w:r>
          </w:p>
        </w:tc>
      </w:tr>
      <w:tr w14:paraId="79DF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780" w:type="dxa"/>
            <w:vAlign w:val="center"/>
          </w:tcPr>
          <w:p w14:paraId="392FFE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63" w:type="dxa"/>
            <w:vMerge w:val="restart"/>
            <w:vAlign w:val="center"/>
          </w:tcPr>
          <w:p w14:paraId="28CEF4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8"/>
                <w:szCs w:val="28"/>
                <w:highlight w:val="none"/>
                <w:lang w:val="en-US" w:eastAsia="zh-CN"/>
              </w:rPr>
              <w:t>产出指标</w:t>
            </w:r>
          </w:p>
        </w:tc>
        <w:tc>
          <w:tcPr>
            <w:tcW w:w="1525" w:type="dxa"/>
            <w:vAlign w:val="center"/>
          </w:tcPr>
          <w:p w14:paraId="3F9F55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8"/>
                <w:szCs w:val="28"/>
                <w:highlight w:val="none"/>
                <w:lang w:val="en-US" w:eastAsia="zh-CN"/>
              </w:rPr>
              <w:t>数量指标</w:t>
            </w:r>
          </w:p>
        </w:tc>
        <w:tc>
          <w:tcPr>
            <w:tcW w:w="3050" w:type="dxa"/>
            <w:vAlign w:val="center"/>
          </w:tcPr>
          <w:p w14:paraId="29B9D2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  <w:highlight w:val="none"/>
                <w:lang w:val="en-US" w:eastAsia="zh-CN"/>
              </w:rPr>
              <w:t>智慧农场（种植业智慧 化生产场景建设）项目 数量</w:t>
            </w:r>
          </w:p>
        </w:tc>
        <w:tc>
          <w:tcPr>
            <w:tcW w:w="1184" w:type="dxa"/>
            <w:vAlign w:val="center"/>
          </w:tcPr>
          <w:p w14:paraId="7775D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</w:tr>
      <w:tr w14:paraId="781A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780" w:type="dxa"/>
            <w:vAlign w:val="center"/>
          </w:tcPr>
          <w:p w14:paraId="34AB36C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63" w:type="dxa"/>
            <w:vMerge w:val="continue"/>
            <w:vAlign w:val="center"/>
          </w:tcPr>
          <w:p w14:paraId="4B6648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435CEC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8"/>
                <w:szCs w:val="28"/>
                <w:highlight w:val="none"/>
                <w:lang w:val="en-US" w:eastAsia="zh-CN"/>
              </w:rPr>
              <w:t>时效指标</w:t>
            </w:r>
          </w:p>
        </w:tc>
        <w:tc>
          <w:tcPr>
            <w:tcW w:w="3050" w:type="dxa"/>
            <w:vAlign w:val="center"/>
          </w:tcPr>
          <w:p w14:paraId="397887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  <w:highlight w:val="none"/>
                <w:lang w:val="en-US" w:eastAsia="zh-CN"/>
              </w:rPr>
              <w:t>立项年</w:t>
            </w:r>
            <w:r>
              <w:rPr>
                <w:rFonts w:hint="eastAsia" w:ascii="Times New Roman" w:hAnsi="Times New Roman" w:eastAsia="仿宋" w:cs="Times New Roman"/>
                <w:spacing w:val="-5"/>
                <w:sz w:val="28"/>
                <w:szCs w:val="28"/>
                <w:highlight w:val="none"/>
                <w:lang w:val="en-US" w:eastAsia="zh-CN"/>
              </w:rPr>
              <w:t>内开工率</w:t>
            </w:r>
          </w:p>
        </w:tc>
        <w:tc>
          <w:tcPr>
            <w:tcW w:w="1184" w:type="dxa"/>
            <w:vAlign w:val="center"/>
          </w:tcPr>
          <w:p w14:paraId="1DDC50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100%</w:t>
            </w:r>
          </w:p>
        </w:tc>
      </w:tr>
    </w:tbl>
    <w:p w14:paraId="73EFBFD7">
      <w:pPr>
        <w:ind w:left="0" w:leftChars="0" w:firstLine="0" w:firstLineChars="0"/>
        <w:rPr>
          <w:rFonts w:hint="eastAsia"/>
          <w:highlight w:val="none"/>
          <w:lang w:eastAsia="zh-CN"/>
        </w:rPr>
      </w:pPr>
    </w:p>
    <w:p w14:paraId="3FE362B8">
      <w:pPr>
        <w:numPr>
          <w:ilvl w:val="0"/>
          <w:numId w:val="2"/>
        </w:numPr>
        <w:ind w:firstLine="600"/>
        <w:rPr>
          <w:rFonts w:hint="eastAsia" w:ascii="黑体" w:hAnsi="黑体" w:eastAsia="黑体" w:cs="黑体"/>
          <w:highlight w:val="none"/>
          <w:lang w:eastAsia="zh-CN"/>
        </w:rPr>
      </w:pPr>
      <w:r>
        <w:rPr>
          <w:rFonts w:hint="eastAsia" w:ascii="黑体" w:hAnsi="黑体" w:eastAsia="黑体" w:cs="黑体"/>
          <w:highlight w:val="none"/>
          <w:lang w:eastAsia="zh-CN"/>
        </w:rPr>
        <w:t>组织管理</w:t>
      </w:r>
    </w:p>
    <w:p w14:paraId="7FD7D2B7">
      <w:pPr>
        <w:ind w:firstLine="60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（一）项目责任人：</w:t>
      </w:r>
    </w:p>
    <w:p w14:paraId="1A247D8A">
      <w:pPr>
        <w:ind w:firstLine="6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席云春 </w:t>
      </w:r>
    </w:p>
    <w:p w14:paraId="468624CC">
      <w:pPr>
        <w:ind w:firstLine="60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（二）管理责任人：</w:t>
      </w:r>
    </w:p>
    <w:p w14:paraId="45C6C61D">
      <w:pPr>
        <w:ind w:firstLine="600"/>
        <w:rPr>
          <w:rFonts w:hint="default" w:eastAsia="仿宋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席云春     杨益飞  </w:t>
      </w:r>
    </w:p>
    <w:p w14:paraId="5875A2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D9CF0A"/>
    <w:multiLevelType w:val="singleLevel"/>
    <w:tmpl w:val="A4D9CF0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F33351C"/>
    <w:multiLevelType w:val="singleLevel"/>
    <w:tmpl w:val="EF33351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051B5"/>
    <w:rsid w:val="1C45793D"/>
    <w:rsid w:val="5726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0" w:firstLineChars="200"/>
      <w:jc w:val="both"/>
    </w:pPr>
    <w:rPr>
      <w:rFonts w:eastAsia="仿宋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page number"/>
    <w:basedOn w:val="8"/>
    <w:semiHidden/>
    <w:unhideWhenUsed/>
    <w:qFormat/>
    <w:uiPriority w:val="99"/>
  </w:style>
  <w:style w:type="character" w:customStyle="1" w:styleId="10">
    <w:name w:val="fontstyle51"/>
    <w:basedOn w:val="8"/>
    <w:autoRedefine/>
    <w:qFormat/>
    <w:uiPriority w:val="0"/>
    <w:rPr>
      <w:rFonts w:hint="eastAsia" w:ascii="宋体" w:hAnsi="宋体" w:eastAsia="宋体"/>
      <w:color w:val="000000"/>
      <w:sz w:val="32"/>
      <w:szCs w:val="32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1560</Words>
  <Characters>1669</Characters>
  <Lines>0</Lines>
  <Paragraphs>0</Paragraphs>
  <TotalTime>1</TotalTime>
  <ScaleCrop>false</ScaleCrop>
  <LinksUpToDate>false</LinksUpToDate>
  <CharactersWithSpaces>1691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2026-05-14T07:51:00Z</dcterms:created>
  <dc:creator>Administrator</dc:creator>
  <cp:lastModifiedBy>ZH</cp:lastModifiedBy>
  <cp:lastPrinted>2026-05-14T08:20:08Z</cp:lastPrinted>
  <dcterms:modified xsi:type="dcterms:W3CDTF">2026-05-14T08:24:18Z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eyJoZGlkIjoiOTJkMGUwNjI5NWUwYTkwYzc0NzMyY2E1YmMzYzI1N2EiLCJ1c2VySWQiOiI1ODUxMjAxNzEifQ==</vt:lpwstr>
  </property>
  <property fmtid="{D5CDD505-2E9C-101B-9397-08002B2CF9AE}" pid="4" name="ICV">
    <vt:lpwstr>EC97DDE5411947D19275949CD41885D2_12</vt:lpwstr>
  </property>
</Properties>
</file>