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Look w:val="01E0"/>
      </w:tblPr>
      <w:tblGrid>
        <w:gridCol w:w="8844"/>
      </w:tblGrid>
      <w:tr w:rsidR="00B27B06" w:rsidRPr="006C11AB" w:rsidTr="006C11AB">
        <w:trPr>
          <w:trHeight w:val="567"/>
        </w:trPr>
        <w:tc>
          <w:tcPr>
            <w:tcW w:w="8844" w:type="dxa"/>
            <w:tcMar>
              <w:left w:w="0" w:type="dxa"/>
              <w:right w:w="0" w:type="dxa"/>
            </w:tcMar>
          </w:tcPr>
          <w:p w:rsidR="00B27B06" w:rsidRPr="006C11AB" w:rsidRDefault="00B27B06" w:rsidP="006C11AB">
            <w:pPr>
              <w:pStyle w:val="a7"/>
              <w:spacing w:line="440" w:lineRule="exact"/>
              <w:jc w:val="both"/>
              <w:rPr>
                <w:color w:val="000000"/>
                <w:sz w:val="32"/>
              </w:rPr>
            </w:pPr>
          </w:p>
        </w:tc>
      </w:tr>
      <w:tr w:rsidR="00284AAB" w:rsidRPr="006C11AB" w:rsidTr="006C11AB">
        <w:trPr>
          <w:trHeight w:val="567"/>
        </w:trPr>
        <w:tc>
          <w:tcPr>
            <w:tcW w:w="8844" w:type="dxa"/>
            <w:tcMar>
              <w:left w:w="0" w:type="dxa"/>
              <w:right w:w="0" w:type="dxa"/>
            </w:tcMar>
          </w:tcPr>
          <w:p w:rsidR="00284AAB" w:rsidRPr="006C11AB" w:rsidRDefault="00284AAB" w:rsidP="006C11AB">
            <w:pPr>
              <w:pStyle w:val="a7"/>
              <w:spacing w:line="440" w:lineRule="exact"/>
              <w:jc w:val="both"/>
              <w:rPr>
                <w:color w:val="000000"/>
                <w:sz w:val="32"/>
              </w:rPr>
            </w:pPr>
          </w:p>
        </w:tc>
      </w:tr>
      <w:tr w:rsidR="00284AAB" w:rsidRPr="006C11AB" w:rsidTr="006C11AB">
        <w:trPr>
          <w:trHeight w:val="567"/>
        </w:trPr>
        <w:tc>
          <w:tcPr>
            <w:tcW w:w="8844" w:type="dxa"/>
            <w:tcMar>
              <w:left w:w="0" w:type="dxa"/>
              <w:right w:w="0" w:type="dxa"/>
            </w:tcMar>
          </w:tcPr>
          <w:p w:rsidR="00284AAB" w:rsidRPr="006C11AB" w:rsidRDefault="00284AAB" w:rsidP="006C11AB">
            <w:pPr>
              <w:pStyle w:val="a7"/>
              <w:spacing w:line="440" w:lineRule="exact"/>
              <w:jc w:val="both"/>
              <w:rPr>
                <w:color w:val="000000"/>
                <w:sz w:val="32"/>
              </w:rPr>
            </w:pPr>
          </w:p>
        </w:tc>
      </w:tr>
      <w:tr w:rsidR="00284AAB" w:rsidRPr="006C11AB" w:rsidTr="006C11AB">
        <w:tc>
          <w:tcPr>
            <w:tcW w:w="8844" w:type="dxa"/>
            <w:tcMar>
              <w:left w:w="0" w:type="dxa"/>
              <w:right w:w="0" w:type="dxa"/>
            </w:tcMar>
          </w:tcPr>
          <w:p w:rsidR="00284AAB" w:rsidRPr="006C11AB" w:rsidRDefault="00284AAB" w:rsidP="006C11AB">
            <w:pPr>
              <w:pStyle w:val="af"/>
              <w:spacing w:before="100" w:after="400" w:line="1300" w:lineRule="atLeast"/>
              <w:rPr>
                <w:rFonts w:ascii="Times New Roman" w:eastAsia="方正小标宋_GBK"/>
                <w:sz w:val="130"/>
              </w:rPr>
            </w:pPr>
            <w:r w:rsidRPr="006C11AB">
              <w:rPr>
                <w:rFonts w:ascii="Times New Roman" w:eastAsia="方正小标宋_GBK" w:hint="eastAsia"/>
                <w:sz w:val="130"/>
              </w:rPr>
              <w:t>江苏省人民政府办公厅文件</w:t>
            </w:r>
          </w:p>
        </w:tc>
      </w:tr>
      <w:tr w:rsidR="00284AAB" w:rsidRPr="006C11AB" w:rsidTr="006C11AB">
        <w:tc>
          <w:tcPr>
            <w:tcW w:w="8844" w:type="dxa"/>
            <w:tcMar>
              <w:left w:w="0" w:type="dxa"/>
              <w:right w:w="0" w:type="dxa"/>
            </w:tcMar>
          </w:tcPr>
          <w:p w:rsidR="00284AAB" w:rsidRPr="00284AAB" w:rsidRDefault="00284AAB" w:rsidP="006C11AB">
            <w:pPr>
              <w:tabs>
                <w:tab w:val="left" w:pos="8364"/>
              </w:tabs>
              <w:ind w:firstLine="0"/>
              <w:jc w:val="center"/>
              <w:rPr>
                <w:noProof/>
              </w:rPr>
            </w:pPr>
            <w:r>
              <w:rPr>
                <w:rFonts w:hint="eastAsia"/>
                <w:noProof/>
              </w:rPr>
              <w:t>苏政办发〔</w:t>
            </w:r>
            <w:r w:rsidR="002561D5">
              <w:rPr>
                <w:noProof/>
              </w:rPr>
              <w:t>201</w:t>
            </w:r>
            <w:r w:rsidR="00401940">
              <w:rPr>
                <w:rFonts w:hint="eastAsia"/>
                <w:noProof/>
              </w:rPr>
              <w:t>5</w:t>
            </w:r>
            <w:r>
              <w:rPr>
                <w:rFonts w:hint="eastAsia"/>
                <w:noProof/>
              </w:rPr>
              <w:t>〕</w:t>
            </w:r>
            <w:r w:rsidR="008D10B1">
              <w:rPr>
                <w:rFonts w:hint="eastAsia"/>
                <w:noProof/>
              </w:rPr>
              <w:t>118</w:t>
            </w:r>
            <w:r>
              <w:rPr>
                <w:rFonts w:hint="eastAsia"/>
                <w:noProof/>
              </w:rPr>
              <w:t>号</w:t>
            </w:r>
          </w:p>
        </w:tc>
      </w:tr>
      <w:tr w:rsidR="00284AAB" w:rsidRPr="006C11AB" w:rsidTr="006C11AB">
        <w:tc>
          <w:tcPr>
            <w:tcW w:w="8844" w:type="dxa"/>
            <w:tcMar>
              <w:left w:w="0" w:type="dxa"/>
              <w:right w:w="0" w:type="dxa"/>
            </w:tcMar>
          </w:tcPr>
          <w:p w:rsidR="00284AAB" w:rsidRPr="006C11AB" w:rsidRDefault="001C6E41" w:rsidP="006C11AB">
            <w:pPr>
              <w:pStyle w:val="a6"/>
              <w:snapToGrid w:val="0"/>
              <w:spacing w:after="840" w:line="100" w:lineRule="atLeast"/>
              <w:ind w:left="-57" w:right="-57"/>
              <w:rPr>
                <w:rFonts w:ascii="Times New Roman"/>
              </w:rPr>
            </w:pPr>
            <w:r w:rsidRPr="006C11AB">
              <w:rPr>
                <w:rFonts w:ascii="Times New Roman"/>
              </w:rPr>
              <w:object w:dxaOrig="7921" w:dyaOrig="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fillcolor="window">
                  <v:imagedata r:id="rId7" o:title=""/>
                </v:shape>
                <o:OLEObject Type="Embed" ProgID="Word.Picture.8" ShapeID="_x0000_i1025" DrawAspect="Content" ObjectID="_1529238638" r:id="rId8"/>
              </w:object>
            </w:r>
          </w:p>
        </w:tc>
      </w:tr>
    </w:tbl>
    <w:p w:rsidR="008D10B1" w:rsidRDefault="008D10B1" w:rsidP="008D10B1">
      <w:pPr>
        <w:pStyle w:val="10"/>
      </w:pPr>
      <w:r w:rsidRPr="007F7E29">
        <w:rPr>
          <w:rFonts w:hint="eastAsia"/>
          <w:spacing w:val="20"/>
        </w:rPr>
        <w:t>省政府办公厅转发省经济和信息化</w:t>
      </w:r>
      <w:r>
        <w:rPr>
          <w:rFonts w:hint="eastAsia"/>
        </w:rPr>
        <w:t>委</w:t>
      </w:r>
    </w:p>
    <w:p w:rsidR="00482C22" w:rsidRDefault="008D10B1" w:rsidP="008D10B1">
      <w:pPr>
        <w:pStyle w:val="10"/>
      </w:pPr>
      <w:r>
        <w:rPr>
          <w:rFonts w:hint="eastAsia"/>
        </w:rPr>
        <w:t>省发展改革委江苏省工业和信息产业结构</w:t>
      </w:r>
      <w:r w:rsidR="007F7E29">
        <w:rPr>
          <w:rFonts w:hint="eastAsia"/>
        </w:rPr>
        <w:t>调整</w:t>
      </w:r>
      <w:r w:rsidR="007F7E29" w:rsidRPr="007F7E29">
        <w:rPr>
          <w:rFonts w:hint="eastAsia"/>
          <w:spacing w:val="40"/>
        </w:rPr>
        <w:t>限制</w:t>
      </w:r>
      <w:r w:rsidRPr="007F7E29">
        <w:rPr>
          <w:rFonts w:hint="eastAsia"/>
          <w:spacing w:val="40"/>
        </w:rPr>
        <w:t>淘汰目录和能耗限额的通</w:t>
      </w:r>
      <w:r>
        <w:rPr>
          <w:rFonts w:hint="eastAsia"/>
        </w:rPr>
        <w:t>知</w:t>
      </w:r>
    </w:p>
    <w:p w:rsidR="00482C22" w:rsidRDefault="00482C22" w:rsidP="008D10B1">
      <w:pPr>
        <w:spacing w:line="460" w:lineRule="atLeast"/>
      </w:pPr>
    </w:p>
    <w:p w:rsidR="00482C22" w:rsidRDefault="00482C22">
      <w:pPr>
        <w:ind w:firstLine="0"/>
      </w:pPr>
      <w:r>
        <w:rPr>
          <w:rFonts w:hint="eastAsia"/>
        </w:rPr>
        <w:t>各市、县</w:t>
      </w:r>
      <w:r w:rsidR="004569EF">
        <w:rPr>
          <w:rFonts w:hint="eastAsia"/>
        </w:rPr>
        <w:t>（市、区）</w:t>
      </w:r>
      <w:r>
        <w:rPr>
          <w:rFonts w:hint="eastAsia"/>
        </w:rPr>
        <w:t>人民政府，省各委办厅局，省各直属单位：</w:t>
      </w:r>
    </w:p>
    <w:p w:rsidR="00482C22" w:rsidRPr="008D10B1" w:rsidRDefault="008D10B1">
      <w:r w:rsidRPr="008D10B1">
        <w:rPr>
          <w:rFonts w:hint="eastAsia"/>
        </w:rPr>
        <w:t>省经济和信息化委、省发展改革委《江苏省工业和信息产业结构调整限制、淘汰目录和能耗限额》已经省人民政府同意，现转发给你们，请认真贯彻执行。</w:t>
      </w:r>
    </w:p>
    <w:p w:rsidR="00482C22" w:rsidRPr="00284AAB" w:rsidRDefault="00482C22" w:rsidP="00284AAB"/>
    <w:p w:rsidR="00482C22" w:rsidRDefault="00980879" w:rsidP="00BA0522">
      <w:pPr>
        <w:pStyle w:val="af0"/>
        <w:tabs>
          <w:tab w:val="left" w:pos="1442"/>
        </w:tabs>
        <w:adjustRightInd w:val="0"/>
        <w:ind w:leftChars="1450" w:left="4568" w:rightChars="50" w:right="158" w:firstLine="0"/>
        <w:jc w:val="center"/>
      </w:pPr>
      <w:r>
        <w:rPr>
          <w:rFonts w:hint="eastAsia"/>
        </w:rPr>
        <w:t>江苏省人民政府办公厅</w:t>
      </w:r>
    </w:p>
    <w:p w:rsidR="00482C22" w:rsidRDefault="00B27B06" w:rsidP="00BA0522">
      <w:pPr>
        <w:adjustRightInd w:val="0"/>
        <w:ind w:leftChars="1450" w:left="4568" w:rightChars="50" w:right="158" w:firstLine="0"/>
        <w:jc w:val="center"/>
      </w:pPr>
      <w:r>
        <w:rPr>
          <w:rFonts w:hint="eastAsia"/>
        </w:rPr>
        <w:t>20</w:t>
      </w:r>
      <w:r w:rsidR="002561D5">
        <w:rPr>
          <w:rFonts w:hint="eastAsia"/>
        </w:rPr>
        <w:t>1</w:t>
      </w:r>
      <w:r w:rsidR="00401940">
        <w:rPr>
          <w:rFonts w:hint="eastAsia"/>
        </w:rPr>
        <w:t>5</w:t>
      </w:r>
      <w:r w:rsidR="00482C22">
        <w:rPr>
          <w:rFonts w:hint="eastAsia"/>
        </w:rPr>
        <w:t>年</w:t>
      </w:r>
      <w:r w:rsidR="008D10B1">
        <w:rPr>
          <w:rFonts w:hint="eastAsia"/>
        </w:rPr>
        <w:t>11</w:t>
      </w:r>
      <w:r w:rsidR="00482C22">
        <w:rPr>
          <w:rFonts w:hint="eastAsia"/>
        </w:rPr>
        <w:t>月</w:t>
      </w:r>
      <w:r w:rsidR="007F7E29">
        <w:rPr>
          <w:rFonts w:hint="eastAsia"/>
        </w:rPr>
        <w:t>23</w:t>
      </w:r>
      <w:r w:rsidR="00482C22">
        <w:rPr>
          <w:rFonts w:hint="eastAsia"/>
        </w:rPr>
        <w:t>日</w:t>
      </w:r>
    </w:p>
    <w:p w:rsidR="008D10B1" w:rsidRDefault="00734FD4" w:rsidP="0098308E">
      <w:pPr>
        <w:sectPr w:rsidR="008D10B1" w:rsidSect="00B27B06">
          <w:headerReference w:type="default" r:id="rId9"/>
          <w:footerReference w:type="even" r:id="rId10"/>
          <w:footerReference w:type="default" r:id="rId11"/>
          <w:pgSz w:w="11906" w:h="16838" w:code="9"/>
          <w:pgMar w:top="1814" w:right="1531" w:bottom="1985" w:left="1531" w:header="720" w:footer="1474" w:gutter="0"/>
          <w:paperSrc w:first="15" w:other="15"/>
          <w:pgNumType w:start="1"/>
          <w:cols w:space="720"/>
          <w:docGrid w:type="linesAndChars" w:linePitch="590" w:charSpace="-1024"/>
        </w:sectPr>
      </w:pPr>
      <w:r>
        <w:rPr>
          <w:rFonts w:hint="eastAsia"/>
        </w:rPr>
        <w:t>（此件公开发布）</w:t>
      </w:r>
    </w:p>
    <w:p w:rsidR="008D10B1" w:rsidRPr="001E3259" w:rsidRDefault="008D10B1" w:rsidP="00734FD4">
      <w:pPr>
        <w:ind w:firstLine="0"/>
      </w:pPr>
    </w:p>
    <w:p w:rsidR="008D10B1" w:rsidRDefault="008D10B1" w:rsidP="008D10B1"/>
    <w:p w:rsidR="008D10B1" w:rsidRDefault="008D10B1" w:rsidP="008D10B1"/>
    <w:p w:rsidR="008D10B1" w:rsidRDefault="008D10B1" w:rsidP="008D10B1"/>
    <w:p w:rsidR="008D10B1" w:rsidRPr="003A4FE6" w:rsidRDefault="008D10B1" w:rsidP="008D10B1">
      <w:pPr>
        <w:pStyle w:val="10"/>
        <w:rPr>
          <w:sz w:val="52"/>
          <w:szCs w:val="52"/>
        </w:rPr>
      </w:pPr>
      <w:r w:rsidRPr="003A4FE6">
        <w:rPr>
          <w:rFonts w:hint="eastAsia"/>
          <w:sz w:val="52"/>
          <w:szCs w:val="52"/>
        </w:rPr>
        <w:t>江苏省工业和信息产业结构调整</w:t>
      </w:r>
    </w:p>
    <w:p w:rsidR="008D10B1" w:rsidRDefault="008D10B1" w:rsidP="00734FD4">
      <w:pPr>
        <w:pStyle w:val="10"/>
        <w:spacing w:beforeLines="50"/>
        <w:rPr>
          <w:sz w:val="52"/>
          <w:szCs w:val="52"/>
        </w:rPr>
      </w:pPr>
      <w:r w:rsidRPr="003A4FE6">
        <w:rPr>
          <w:rFonts w:hint="eastAsia"/>
          <w:sz w:val="52"/>
          <w:szCs w:val="52"/>
        </w:rPr>
        <w:t>限制</w:t>
      </w:r>
      <w:r w:rsidR="007F7E29">
        <w:rPr>
          <w:rFonts w:hint="eastAsia"/>
          <w:sz w:val="52"/>
          <w:szCs w:val="52"/>
        </w:rPr>
        <w:t>、</w:t>
      </w:r>
      <w:r w:rsidRPr="003A4FE6">
        <w:rPr>
          <w:rFonts w:hint="eastAsia"/>
          <w:sz w:val="52"/>
          <w:szCs w:val="52"/>
        </w:rPr>
        <w:t>淘汰目录和能耗限额</w:t>
      </w:r>
    </w:p>
    <w:p w:rsidR="00E145E8" w:rsidRPr="00E145E8" w:rsidRDefault="00E145E8" w:rsidP="00E145E8">
      <w:pPr>
        <w:pStyle w:val="10"/>
        <w:rPr>
          <w:sz w:val="52"/>
          <w:szCs w:val="52"/>
        </w:rPr>
      </w:pPr>
      <w:r w:rsidRPr="00E145E8">
        <w:rPr>
          <w:rFonts w:hint="eastAsia"/>
          <w:sz w:val="52"/>
          <w:szCs w:val="52"/>
        </w:rPr>
        <w:t>（钢铁部分）</w:t>
      </w:r>
    </w:p>
    <w:p w:rsidR="008D10B1" w:rsidRDefault="008D10B1" w:rsidP="00734FD4">
      <w:pPr>
        <w:pStyle w:val="2"/>
        <w:spacing w:beforeLines="50"/>
      </w:pPr>
      <w:r>
        <w:rPr>
          <w:rFonts w:hint="eastAsia"/>
        </w:rPr>
        <w:t>（</w:t>
      </w:r>
      <w:r>
        <w:rPr>
          <w:rFonts w:hint="eastAsia"/>
        </w:rPr>
        <w:t>2015</w:t>
      </w:r>
      <w:r>
        <w:rPr>
          <w:rFonts w:hint="eastAsia"/>
        </w:rPr>
        <w:t>年本）</w:t>
      </w:r>
    </w:p>
    <w:p w:rsidR="008D10B1" w:rsidRDefault="008D10B1" w:rsidP="008D10B1">
      <w:r>
        <w:t xml:space="preserve"> </w:t>
      </w:r>
    </w:p>
    <w:p w:rsidR="008D10B1" w:rsidRDefault="008D10B1" w:rsidP="008D10B1"/>
    <w:p w:rsidR="008D10B1" w:rsidRDefault="008D10B1" w:rsidP="008D10B1"/>
    <w:p w:rsidR="008D10B1" w:rsidRDefault="008D10B1" w:rsidP="008D10B1"/>
    <w:p w:rsidR="008D10B1" w:rsidRDefault="008D10B1" w:rsidP="008D10B1"/>
    <w:p w:rsidR="008D10B1" w:rsidRDefault="008D10B1" w:rsidP="00E145E8">
      <w:pPr>
        <w:ind w:firstLine="0"/>
      </w:pPr>
    </w:p>
    <w:p w:rsidR="008D10B1" w:rsidRDefault="008D10B1" w:rsidP="008D10B1">
      <w:r>
        <w:t xml:space="preserve">  </w:t>
      </w:r>
    </w:p>
    <w:p w:rsidR="008D10B1" w:rsidRDefault="008D10B1" w:rsidP="008D10B1">
      <w:r>
        <w:t xml:space="preserve"> </w:t>
      </w:r>
    </w:p>
    <w:p w:rsidR="008D10B1" w:rsidRPr="003A4FE6" w:rsidRDefault="008D10B1" w:rsidP="008D10B1">
      <w:pPr>
        <w:ind w:firstLine="0"/>
        <w:jc w:val="center"/>
        <w:rPr>
          <w:rFonts w:eastAsia="方正黑体_GBK"/>
        </w:rPr>
      </w:pPr>
      <w:r w:rsidRPr="003A4FE6">
        <w:rPr>
          <w:rFonts w:eastAsia="方正黑体_GBK" w:hint="eastAsia"/>
        </w:rPr>
        <w:t>江苏省经济和信息化委员会</w:t>
      </w:r>
    </w:p>
    <w:p w:rsidR="008D10B1" w:rsidRDefault="008D10B1" w:rsidP="008D10B1">
      <w:pPr>
        <w:ind w:firstLine="0"/>
        <w:jc w:val="center"/>
        <w:rPr>
          <w:rFonts w:eastAsia="方正黑体_GBK"/>
        </w:rPr>
        <w:sectPr w:rsidR="008D10B1" w:rsidSect="00F51D1F">
          <w:pgSz w:w="11906" w:h="16838" w:code="9"/>
          <w:pgMar w:top="1814" w:right="1531" w:bottom="1985" w:left="1531" w:header="720" w:footer="1474" w:gutter="0"/>
          <w:paperSrc w:first="15" w:other="15"/>
          <w:pgNumType w:start="1"/>
          <w:cols w:space="720"/>
          <w:titlePg/>
          <w:docGrid w:type="linesAndChars" w:linePitch="590" w:charSpace="-1024"/>
        </w:sectPr>
      </w:pPr>
      <w:r w:rsidRPr="003A4FE6">
        <w:rPr>
          <w:rFonts w:eastAsia="方正黑体_GBK" w:hint="eastAsia"/>
        </w:rPr>
        <w:t>江苏省发展和改革委员会</w:t>
      </w:r>
    </w:p>
    <w:p w:rsidR="008D10B1" w:rsidRDefault="008D10B1" w:rsidP="008D10B1">
      <w:pPr>
        <w:spacing w:line="540" w:lineRule="atLeast"/>
      </w:pPr>
    </w:p>
    <w:p w:rsidR="008D10B1" w:rsidRDefault="008D10B1" w:rsidP="008D10B1">
      <w:pPr>
        <w:pStyle w:val="10"/>
      </w:pPr>
      <w:r>
        <w:rPr>
          <w:rFonts w:hint="eastAsia"/>
        </w:rPr>
        <w:t>前</w:t>
      </w:r>
      <w:r>
        <w:rPr>
          <w:rFonts w:hint="eastAsia"/>
        </w:rPr>
        <w:t xml:space="preserve">  </w:t>
      </w:r>
      <w:r>
        <w:rPr>
          <w:rFonts w:hint="eastAsia"/>
        </w:rPr>
        <w:t>言</w:t>
      </w:r>
    </w:p>
    <w:p w:rsidR="008D10B1" w:rsidRDefault="008D10B1" w:rsidP="008D10B1">
      <w:pPr>
        <w:spacing w:line="540" w:lineRule="atLeast"/>
      </w:pPr>
    </w:p>
    <w:p w:rsidR="008D10B1" w:rsidRDefault="008D10B1" w:rsidP="008D10B1">
      <w:r>
        <w:rPr>
          <w:rFonts w:hint="eastAsia"/>
        </w:rPr>
        <w:t>为贯彻落实省委、省政府关于全面深化经济体制改革的部署，加快政府职能转变，以新思路、新举措推进全省工业和信息产业向中高端迈进，依据国家发展改革委《产业结构调整指导目录（</w:t>
      </w:r>
      <w:r>
        <w:rPr>
          <w:rFonts w:hint="eastAsia"/>
        </w:rPr>
        <w:t>2011</w:t>
      </w:r>
      <w:r>
        <w:rPr>
          <w:rFonts w:hint="eastAsia"/>
        </w:rPr>
        <w:t>年本）》以及</w:t>
      </w:r>
      <w:r>
        <w:rPr>
          <w:rFonts w:hint="eastAsia"/>
        </w:rPr>
        <w:t>2013</w:t>
      </w:r>
      <w:r>
        <w:rPr>
          <w:rFonts w:hint="eastAsia"/>
        </w:rPr>
        <w:t>年修订本、工业和信息化部《部分工业行业淘汰落后生产工艺装备和产品指导目录（</w:t>
      </w:r>
      <w:r>
        <w:rPr>
          <w:rFonts w:hint="eastAsia"/>
        </w:rPr>
        <w:t>2010</w:t>
      </w:r>
      <w:r>
        <w:rPr>
          <w:rFonts w:hint="eastAsia"/>
        </w:rPr>
        <w:t>年本）》、省政府办公厅《江苏省工业和信息产业结构调整指导目录（</w:t>
      </w:r>
      <w:r>
        <w:rPr>
          <w:rFonts w:hint="eastAsia"/>
        </w:rPr>
        <w:t>2012</w:t>
      </w:r>
      <w:r>
        <w:rPr>
          <w:rFonts w:hint="eastAsia"/>
        </w:rPr>
        <w:t>年本）》等，结合我省工业和信息产业发展实际，特编制《江苏省工业和信息产业结构调整限制、淘汰目录和能耗限额》（以下简称《限制、淘汰目录和能耗限额》）。</w:t>
      </w:r>
    </w:p>
    <w:p w:rsidR="008D10B1" w:rsidRDefault="008D10B1" w:rsidP="008D10B1">
      <w:r>
        <w:rPr>
          <w:rFonts w:hint="eastAsia"/>
        </w:rPr>
        <w:t>《限制、淘汰目录和能耗限额》针对工业和信息化领域、以制造业和</w:t>
      </w:r>
      <w:r w:rsidR="007F7E29">
        <w:rPr>
          <w:rFonts w:hint="eastAsia"/>
        </w:rPr>
        <w:t>生产性服务业为重点，由限制类和淘汰类目录构成指引产业结构调整的</w:t>
      </w:r>
      <w:r>
        <w:rPr>
          <w:rFonts w:hint="eastAsia"/>
        </w:rPr>
        <w:t>清单，用于指导和引导存量调整。对列入限制类的，允许在现有生产能力范围内进行技术改造升级或实施产业转移，促进节能降耗、提质增效；对列入淘汰类的，限期予以淘汰，届时一律不得生产、销售、使用和转移。以“产品单耗限额值、设备能效限定值和产品单耗准入值”设定不同行业、主要产品以及重点用能设备的能耗门槛，用于指导开展能效管理。相关能耗限额指标均源于国家及省发布的单位产品能耗限额标准限定值、相关重点用能设备能效标准值、单位产品能耗限额标准准入值，</w:t>
      </w:r>
      <w:r>
        <w:rPr>
          <w:rFonts w:hint="eastAsia"/>
        </w:rPr>
        <w:lastRenderedPageBreak/>
        <w:t>总体</w:t>
      </w:r>
      <w:r w:rsidR="007F7E29">
        <w:rPr>
          <w:rFonts w:hint="eastAsia"/>
        </w:rPr>
        <w:t>采用</w:t>
      </w:r>
      <w:r>
        <w:rPr>
          <w:rFonts w:hint="eastAsia"/>
        </w:rPr>
        <w:t>国家发布的数值，有省标数值的采纳省标准。</w:t>
      </w:r>
    </w:p>
    <w:p w:rsidR="008D10B1" w:rsidRDefault="008D10B1" w:rsidP="008D10B1">
      <w:r>
        <w:rPr>
          <w:rFonts w:hint="eastAsia"/>
        </w:rPr>
        <w:t>《限制、淘汰目录和能耗限额》应辅之相关配套政策和措施。对属于限制类和淘汰类的企业、工艺、装备、产品等，按有关规定实施差别电价政策，倒逼企业加快生产工艺、装备和产品的升级换代，加快淘汰落后产能与落后产品；对超出“能耗限额”的高能耗企业和高能耗产品生产、高能耗装备使用等，各有关职能部门通过实施差别资源性产品价格、惩罚性电价政策、差别化信贷和利率政策等，倒逼</w:t>
      </w:r>
      <w:r w:rsidR="007F7E29">
        <w:rPr>
          <w:rFonts w:hint="eastAsia"/>
        </w:rPr>
        <w:t>企业强化能效管理，淘汰高能耗产品和落后的用能设备，开展清洁生产，</w:t>
      </w:r>
      <w:r>
        <w:rPr>
          <w:rFonts w:hint="eastAsia"/>
        </w:rPr>
        <w:t>推行绿色制造。努力实现全省工业和信息产业落后产能与低端产品的“压和减”，装备技术水平、资源能源使用效率的“提和升”，促进产业的高端化、绿色化发展水平。</w:t>
      </w:r>
    </w:p>
    <w:p w:rsidR="008D10B1" w:rsidRDefault="008D10B1" w:rsidP="008D10B1">
      <w:r>
        <w:rPr>
          <w:rFonts w:hint="eastAsia"/>
        </w:rPr>
        <w:t>《限制、淘汰目录和能耗限额》适用于我省境内的各类企业。</w:t>
      </w:r>
    </w:p>
    <w:p w:rsidR="008D10B1" w:rsidRDefault="008D10B1" w:rsidP="008D10B1">
      <w:r>
        <w:rPr>
          <w:rFonts w:hint="eastAsia"/>
        </w:rPr>
        <w:t>《限制、淘汰目录和能耗限额》自印发之日起施行。施行期间，如国家发布新的指导目录，按国家新的指导目录执行。</w:t>
      </w:r>
    </w:p>
    <w:p w:rsidR="008D10B1" w:rsidRDefault="008D10B1" w:rsidP="008D10B1">
      <w:pPr>
        <w:sectPr w:rsidR="008D10B1" w:rsidSect="000766AA">
          <w:pgSz w:w="11906" w:h="16838" w:code="9"/>
          <w:pgMar w:top="1814" w:right="1531" w:bottom="1985" w:left="1531" w:header="720" w:footer="1474" w:gutter="0"/>
          <w:paperSrc w:first="15" w:other="15"/>
          <w:pgNumType w:start="5"/>
          <w:cols w:space="720"/>
          <w:docGrid w:type="linesAndChars" w:linePitch="590" w:charSpace="-1024"/>
        </w:sectPr>
      </w:pPr>
    </w:p>
    <w:p w:rsidR="008D10B1" w:rsidRDefault="008D10B1" w:rsidP="008E231D">
      <w:pPr>
        <w:spacing w:line="520" w:lineRule="atLeast"/>
      </w:pPr>
    </w:p>
    <w:p w:rsidR="008D10B1" w:rsidRDefault="008D10B1" w:rsidP="008D10B1">
      <w:pPr>
        <w:pStyle w:val="10"/>
      </w:pPr>
      <w:r w:rsidRPr="008D10B1">
        <w:rPr>
          <w:rFonts w:hint="eastAsia"/>
        </w:rPr>
        <w:t>江苏省工业和信息产业结构调整</w:t>
      </w:r>
    </w:p>
    <w:p w:rsidR="0098308E" w:rsidRPr="008D10B1" w:rsidRDefault="008D10B1" w:rsidP="008D10B1">
      <w:pPr>
        <w:pStyle w:val="10"/>
      </w:pPr>
      <w:r w:rsidRPr="008D10B1">
        <w:rPr>
          <w:rFonts w:hint="eastAsia"/>
          <w:spacing w:val="20"/>
        </w:rPr>
        <w:t>限制</w:t>
      </w:r>
      <w:r w:rsidR="002B4400">
        <w:rPr>
          <w:rFonts w:hint="eastAsia"/>
          <w:spacing w:val="20"/>
        </w:rPr>
        <w:t>、</w:t>
      </w:r>
      <w:r w:rsidRPr="008D10B1">
        <w:rPr>
          <w:rFonts w:hint="eastAsia"/>
          <w:spacing w:val="20"/>
        </w:rPr>
        <w:t>淘汰目录及能耗限</w:t>
      </w:r>
      <w:r w:rsidRPr="008D10B1">
        <w:rPr>
          <w:rFonts w:hint="eastAsia"/>
        </w:rPr>
        <w:t>额</w:t>
      </w:r>
    </w:p>
    <w:p w:rsidR="002561D5" w:rsidRDefault="002561D5" w:rsidP="008E231D">
      <w:pPr>
        <w:spacing w:line="520" w:lineRule="atLeast"/>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
        <w:gridCol w:w="6"/>
        <w:gridCol w:w="8312"/>
      </w:tblGrid>
      <w:tr w:rsidR="008D10B1" w:rsidRPr="007723AE" w:rsidTr="008D10B1">
        <w:trPr>
          <w:jc w:val="center"/>
        </w:trPr>
        <w:tc>
          <w:tcPr>
            <w:tcW w:w="8901" w:type="dxa"/>
            <w:gridSpan w:val="3"/>
            <w:shd w:val="clear" w:color="auto" w:fill="auto"/>
            <w:noWrap/>
            <w:vAlign w:val="center"/>
          </w:tcPr>
          <w:p w:rsidR="008D10B1" w:rsidRPr="007723AE" w:rsidRDefault="008D10B1" w:rsidP="008D10B1">
            <w:pPr>
              <w:widowControl/>
              <w:adjustRightInd w:val="0"/>
              <w:spacing w:line="235" w:lineRule="auto"/>
              <w:ind w:firstLine="0"/>
              <w:jc w:val="center"/>
              <w:rPr>
                <w:rFonts w:eastAsia="方正黑体_GBK" w:cs="宋体"/>
                <w:color w:val="000000"/>
                <w:sz w:val="21"/>
                <w:szCs w:val="21"/>
              </w:rPr>
            </w:pPr>
            <w:r w:rsidRPr="007723AE">
              <w:rPr>
                <w:rFonts w:eastAsia="方正黑体_GBK" w:cs="宋体" w:hint="eastAsia"/>
                <w:color w:val="000000"/>
                <w:sz w:val="21"/>
                <w:szCs w:val="21"/>
              </w:rPr>
              <w:t>产业结构调整限制淘汰目录</w:t>
            </w:r>
          </w:p>
        </w:tc>
      </w:tr>
      <w:tr w:rsidR="008D10B1" w:rsidRPr="007723AE" w:rsidTr="008D10B1">
        <w:trPr>
          <w:jc w:val="center"/>
        </w:trPr>
        <w:tc>
          <w:tcPr>
            <w:tcW w:w="8901" w:type="dxa"/>
            <w:gridSpan w:val="3"/>
            <w:shd w:val="clear" w:color="auto" w:fill="auto"/>
            <w:noWrap/>
            <w:vAlign w:val="center"/>
          </w:tcPr>
          <w:p w:rsidR="008D10B1" w:rsidRPr="00E145E8" w:rsidRDefault="008D10B1" w:rsidP="008D10B1">
            <w:pPr>
              <w:widowControl/>
              <w:adjustRightInd w:val="0"/>
              <w:spacing w:line="235" w:lineRule="auto"/>
              <w:ind w:firstLine="0"/>
              <w:jc w:val="center"/>
              <w:rPr>
                <w:rFonts w:eastAsia="方正黑体_GBK" w:cs="宋体"/>
                <w:color w:val="000000"/>
                <w:sz w:val="44"/>
                <w:szCs w:val="44"/>
              </w:rPr>
            </w:pPr>
            <w:r w:rsidRPr="00E145E8">
              <w:rPr>
                <w:rFonts w:eastAsia="方正黑体_GBK" w:cs="宋体" w:hint="eastAsia"/>
                <w:color w:val="000000"/>
                <w:sz w:val="44"/>
                <w:szCs w:val="44"/>
              </w:rPr>
              <w:t>一、限制类</w:t>
            </w:r>
          </w:p>
        </w:tc>
      </w:tr>
      <w:tr w:rsidR="008E231D" w:rsidRPr="007723AE" w:rsidTr="008E231D">
        <w:trPr>
          <w:jc w:val="center"/>
        </w:trPr>
        <w:tc>
          <w:tcPr>
            <w:tcW w:w="589" w:type="dxa"/>
            <w:gridSpan w:val="2"/>
            <w:shd w:val="clear" w:color="auto" w:fill="auto"/>
            <w:noWrap/>
            <w:tcMar>
              <w:left w:w="57" w:type="dxa"/>
              <w:right w:w="57" w:type="dxa"/>
            </w:tcMar>
            <w:vAlign w:val="center"/>
          </w:tcPr>
          <w:p w:rsidR="008E231D" w:rsidRPr="007723AE" w:rsidRDefault="008E231D" w:rsidP="008D10B1">
            <w:pPr>
              <w:widowControl/>
              <w:adjustRightInd w:val="0"/>
              <w:spacing w:line="235" w:lineRule="auto"/>
              <w:ind w:firstLine="0"/>
              <w:jc w:val="center"/>
              <w:rPr>
                <w:rFonts w:eastAsia="方正黑体_GBK" w:cs="宋体"/>
                <w:color w:val="000000"/>
                <w:sz w:val="21"/>
                <w:szCs w:val="21"/>
              </w:rPr>
            </w:pPr>
            <w:r>
              <w:rPr>
                <w:rFonts w:eastAsia="方正黑体_GBK" w:cs="宋体" w:hint="eastAsia"/>
                <w:color w:val="000000"/>
                <w:sz w:val="21"/>
                <w:szCs w:val="21"/>
              </w:rPr>
              <w:t>序号</w:t>
            </w:r>
          </w:p>
        </w:tc>
        <w:tc>
          <w:tcPr>
            <w:tcW w:w="8312" w:type="dxa"/>
            <w:shd w:val="clear" w:color="auto" w:fill="auto"/>
            <w:vAlign w:val="center"/>
          </w:tcPr>
          <w:p w:rsidR="008E231D" w:rsidRPr="007723AE" w:rsidRDefault="008E231D" w:rsidP="008D10B1">
            <w:pPr>
              <w:widowControl/>
              <w:adjustRightInd w:val="0"/>
              <w:spacing w:line="235" w:lineRule="auto"/>
              <w:ind w:firstLine="0"/>
              <w:jc w:val="center"/>
              <w:rPr>
                <w:rFonts w:eastAsia="方正黑体_GBK" w:cs="宋体"/>
                <w:color w:val="000000"/>
                <w:sz w:val="21"/>
                <w:szCs w:val="21"/>
              </w:rPr>
            </w:pPr>
            <w:r>
              <w:rPr>
                <w:rFonts w:eastAsia="方正黑体_GBK" w:cs="宋体" w:hint="eastAsia"/>
                <w:color w:val="000000"/>
                <w:sz w:val="21"/>
                <w:szCs w:val="21"/>
              </w:rPr>
              <w:t>内容</w:t>
            </w:r>
          </w:p>
        </w:tc>
      </w:tr>
      <w:tr w:rsidR="008D10B1" w:rsidRPr="007723AE" w:rsidTr="008D10B1">
        <w:trPr>
          <w:jc w:val="center"/>
        </w:trPr>
        <w:tc>
          <w:tcPr>
            <w:tcW w:w="8901" w:type="dxa"/>
            <w:gridSpan w:val="3"/>
            <w:shd w:val="clear" w:color="auto" w:fill="auto"/>
            <w:vAlign w:val="center"/>
          </w:tcPr>
          <w:p w:rsidR="008D10B1" w:rsidRPr="007723AE" w:rsidRDefault="00E145E8" w:rsidP="008D10B1">
            <w:pPr>
              <w:widowControl/>
              <w:adjustRightInd w:val="0"/>
              <w:spacing w:line="235" w:lineRule="auto"/>
              <w:ind w:firstLine="0"/>
              <w:jc w:val="center"/>
              <w:rPr>
                <w:rFonts w:eastAsia="方正黑体_GBK" w:cs="宋体"/>
                <w:sz w:val="21"/>
                <w:szCs w:val="21"/>
              </w:rPr>
            </w:pPr>
            <w:r>
              <w:rPr>
                <w:rFonts w:eastAsia="方正黑体_GBK" w:cs="宋体" w:hint="eastAsia"/>
                <w:sz w:val="21"/>
                <w:szCs w:val="21"/>
              </w:rPr>
              <w:t>……</w:t>
            </w:r>
          </w:p>
        </w:tc>
      </w:tr>
      <w:tr w:rsidR="008D10B1" w:rsidRPr="007723AE" w:rsidTr="008D10B1">
        <w:trPr>
          <w:jc w:val="center"/>
        </w:trPr>
        <w:tc>
          <w:tcPr>
            <w:tcW w:w="8901" w:type="dxa"/>
            <w:gridSpan w:val="3"/>
            <w:shd w:val="clear" w:color="auto" w:fill="auto"/>
            <w:vAlign w:val="center"/>
          </w:tcPr>
          <w:p w:rsidR="008D10B1" w:rsidRPr="007723AE" w:rsidRDefault="008D10B1" w:rsidP="008D10B1">
            <w:pPr>
              <w:widowControl/>
              <w:adjustRightInd w:val="0"/>
              <w:spacing w:line="235" w:lineRule="auto"/>
              <w:ind w:firstLine="0"/>
              <w:jc w:val="center"/>
              <w:rPr>
                <w:rFonts w:eastAsia="方正黑体_GBK" w:cs="宋体"/>
                <w:sz w:val="21"/>
                <w:szCs w:val="21"/>
              </w:rPr>
            </w:pPr>
            <w:r w:rsidRPr="007723AE">
              <w:rPr>
                <w:rFonts w:eastAsia="方正黑体_GBK" w:cs="宋体" w:hint="eastAsia"/>
                <w:sz w:val="21"/>
                <w:szCs w:val="21"/>
              </w:rPr>
              <w:t>（四）钢铁</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20</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jc w:val="left"/>
              <w:rPr>
                <w:rFonts w:eastAsia="宋体" w:cs="方正仿宋_GBK"/>
                <w:sz w:val="21"/>
                <w:szCs w:val="21"/>
              </w:rPr>
            </w:pPr>
            <w:r w:rsidRPr="007723AE">
              <w:rPr>
                <w:rFonts w:eastAsia="宋体" w:cs="方正仿宋_GBK" w:hint="eastAsia"/>
                <w:sz w:val="21"/>
                <w:szCs w:val="21"/>
              </w:rPr>
              <w:t>180</w:t>
            </w:r>
            <w:r w:rsidRPr="007723AE">
              <w:rPr>
                <w:rFonts w:eastAsia="宋体" w:hAnsi="方正仿宋_GBK" w:cs="方正仿宋_GBK" w:hint="eastAsia"/>
                <w:sz w:val="21"/>
                <w:szCs w:val="21"/>
              </w:rPr>
              <w:t>平方米以下烧结机（铁合金烧结机除外）</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21</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有效容积</w:t>
            </w:r>
            <w:r w:rsidRPr="007723AE">
              <w:rPr>
                <w:rFonts w:eastAsia="宋体" w:cs="方正仿宋_GBK" w:hint="eastAsia"/>
                <w:sz w:val="21"/>
                <w:szCs w:val="21"/>
              </w:rPr>
              <w:t>400</w:t>
            </w:r>
            <w:r w:rsidRPr="007723AE">
              <w:rPr>
                <w:rFonts w:eastAsia="宋体" w:hAnsi="方正仿宋_GBK" w:cs="方正仿宋_GBK" w:hint="eastAsia"/>
                <w:sz w:val="21"/>
                <w:szCs w:val="21"/>
              </w:rPr>
              <w:t>立方米以上</w:t>
            </w:r>
            <w:r w:rsidRPr="007723AE">
              <w:rPr>
                <w:rFonts w:eastAsia="宋体" w:cs="方正仿宋_GBK" w:hint="eastAsia"/>
                <w:sz w:val="21"/>
                <w:szCs w:val="21"/>
              </w:rPr>
              <w:t>1200</w:t>
            </w:r>
            <w:r w:rsidRPr="007723AE">
              <w:rPr>
                <w:rFonts w:eastAsia="宋体" w:hAnsi="方正仿宋_GBK" w:cs="方正仿宋_GBK" w:hint="eastAsia"/>
                <w:sz w:val="21"/>
                <w:szCs w:val="21"/>
              </w:rPr>
              <w:t>立方米以下炼铁高炉；</w:t>
            </w:r>
            <w:r w:rsidRPr="007723AE">
              <w:rPr>
                <w:rFonts w:eastAsia="宋体" w:cs="方正仿宋_GBK" w:hint="eastAsia"/>
                <w:sz w:val="21"/>
                <w:szCs w:val="21"/>
              </w:rPr>
              <w:t>1200</w:t>
            </w:r>
            <w:r w:rsidRPr="007723AE">
              <w:rPr>
                <w:rFonts w:eastAsia="宋体" w:hAnsi="方正仿宋_GBK" w:cs="方正仿宋_GBK" w:hint="eastAsia"/>
                <w:sz w:val="21"/>
                <w:szCs w:val="21"/>
              </w:rPr>
              <w:t>立方米及以上但未同步配套煤粉喷吹装置、除尘装置、余压发电装置，能源消耗大于</w:t>
            </w:r>
            <w:r w:rsidRPr="007723AE">
              <w:rPr>
                <w:rFonts w:eastAsia="宋体" w:cs="方正仿宋_GBK" w:hint="eastAsia"/>
                <w:sz w:val="21"/>
                <w:szCs w:val="21"/>
              </w:rPr>
              <w:t>430</w:t>
            </w:r>
            <w:r w:rsidRPr="007723AE">
              <w:rPr>
                <w:rFonts w:eastAsia="宋体" w:hAnsi="方正仿宋_GBK" w:cs="方正仿宋_GBK" w:hint="eastAsia"/>
                <w:sz w:val="21"/>
                <w:szCs w:val="21"/>
              </w:rPr>
              <w:t>公斤标煤</w:t>
            </w:r>
            <w:r w:rsidRPr="007723AE">
              <w:rPr>
                <w:rFonts w:eastAsia="宋体" w:cs="方正仿宋_GBK" w:hint="eastAsia"/>
                <w:sz w:val="21"/>
                <w:szCs w:val="21"/>
              </w:rPr>
              <w:t>/</w:t>
            </w:r>
            <w:r w:rsidRPr="007723AE">
              <w:rPr>
                <w:rFonts w:eastAsia="宋体" w:hAnsi="方正仿宋_GBK" w:cs="方正仿宋_GBK" w:hint="eastAsia"/>
                <w:sz w:val="21"/>
                <w:szCs w:val="21"/>
              </w:rPr>
              <w:t>吨、新水耗量大于</w:t>
            </w:r>
            <w:r w:rsidRPr="007723AE">
              <w:rPr>
                <w:rFonts w:eastAsia="宋体" w:cs="方正仿宋_GBK" w:hint="eastAsia"/>
                <w:sz w:val="21"/>
                <w:szCs w:val="21"/>
              </w:rPr>
              <w:t>2.4</w:t>
            </w:r>
            <w:r w:rsidRPr="007723AE">
              <w:rPr>
                <w:rFonts w:eastAsia="宋体" w:hAnsi="方正仿宋_GBK" w:cs="方正仿宋_GBK" w:hint="eastAsia"/>
                <w:sz w:val="21"/>
                <w:szCs w:val="21"/>
              </w:rPr>
              <w:t>立方米</w:t>
            </w:r>
            <w:r w:rsidRPr="007723AE">
              <w:rPr>
                <w:rFonts w:eastAsia="宋体" w:cs="方正仿宋_GBK" w:hint="eastAsia"/>
                <w:sz w:val="21"/>
                <w:szCs w:val="21"/>
              </w:rPr>
              <w:t>/</w:t>
            </w:r>
            <w:r w:rsidRPr="007723AE">
              <w:rPr>
                <w:rFonts w:eastAsia="宋体" w:hAnsi="方正仿宋_GBK" w:cs="方正仿宋_GBK" w:hint="eastAsia"/>
                <w:sz w:val="21"/>
                <w:szCs w:val="21"/>
              </w:rPr>
              <w:t>吨等达不到标准的炼铁高炉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22</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公称容量</w:t>
            </w:r>
            <w:r w:rsidRPr="007723AE">
              <w:rPr>
                <w:rFonts w:eastAsia="宋体" w:cs="方正仿宋_GBK" w:hint="eastAsia"/>
                <w:sz w:val="21"/>
                <w:szCs w:val="21"/>
              </w:rPr>
              <w:t>30</w:t>
            </w:r>
            <w:r w:rsidRPr="007723AE">
              <w:rPr>
                <w:rFonts w:eastAsia="宋体" w:hAnsi="方正仿宋_GBK" w:cs="方正仿宋_GBK" w:hint="eastAsia"/>
                <w:sz w:val="21"/>
                <w:szCs w:val="21"/>
              </w:rPr>
              <w:t>吨以上</w:t>
            </w:r>
            <w:r w:rsidRPr="007723AE">
              <w:rPr>
                <w:rFonts w:eastAsia="宋体" w:cs="方正仿宋_GBK" w:hint="eastAsia"/>
                <w:sz w:val="21"/>
                <w:szCs w:val="21"/>
              </w:rPr>
              <w:t>120</w:t>
            </w:r>
            <w:r w:rsidRPr="007723AE">
              <w:rPr>
                <w:rFonts w:eastAsia="宋体" w:hAnsi="方正仿宋_GBK" w:cs="方正仿宋_GBK" w:hint="eastAsia"/>
                <w:sz w:val="21"/>
                <w:szCs w:val="21"/>
              </w:rPr>
              <w:t>吨以下炼钢转炉；公称容量</w:t>
            </w:r>
            <w:r w:rsidRPr="007723AE">
              <w:rPr>
                <w:rFonts w:eastAsia="宋体" w:cs="方正仿宋_GBK" w:hint="eastAsia"/>
                <w:sz w:val="21"/>
                <w:szCs w:val="21"/>
              </w:rPr>
              <w:t>120</w:t>
            </w:r>
            <w:r w:rsidRPr="007723AE">
              <w:rPr>
                <w:rFonts w:eastAsia="宋体" w:hAnsi="方正仿宋_GBK" w:cs="方正仿宋_GBK" w:hint="eastAsia"/>
                <w:sz w:val="21"/>
                <w:szCs w:val="21"/>
              </w:rPr>
              <w:t>吨及以上但未同步配套煤气回收、除尘装置，新水耗量大于</w:t>
            </w:r>
            <w:r w:rsidRPr="007723AE">
              <w:rPr>
                <w:rFonts w:eastAsia="宋体" w:cs="方正仿宋_GBK" w:hint="eastAsia"/>
                <w:sz w:val="21"/>
                <w:szCs w:val="21"/>
              </w:rPr>
              <w:t>3</w:t>
            </w:r>
            <w:r w:rsidRPr="007723AE">
              <w:rPr>
                <w:rFonts w:eastAsia="宋体" w:hAnsi="方正仿宋_GBK" w:cs="方正仿宋_GBK" w:hint="eastAsia"/>
                <w:sz w:val="21"/>
                <w:szCs w:val="21"/>
              </w:rPr>
              <w:t>立方米</w:t>
            </w:r>
            <w:r w:rsidRPr="007723AE">
              <w:rPr>
                <w:rFonts w:eastAsia="宋体" w:cs="方正仿宋_GBK" w:hint="eastAsia"/>
                <w:sz w:val="21"/>
                <w:szCs w:val="21"/>
              </w:rPr>
              <w:t>/</w:t>
            </w:r>
            <w:r w:rsidRPr="007723AE">
              <w:rPr>
                <w:rFonts w:eastAsia="宋体" w:hAnsi="方正仿宋_GBK" w:cs="方正仿宋_GBK" w:hint="eastAsia"/>
                <w:sz w:val="21"/>
                <w:szCs w:val="21"/>
              </w:rPr>
              <w:t>吨等达不到标准的炼钢转炉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23</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公称容量</w:t>
            </w:r>
            <w:r w:rsidRPr="007723AE">
              <w:rPr>
                <w:rFonts w:eastAsia="宋体" w:cs="方正仿宋_GBK" w:hint="eastAsia"/>
                <w:sz w:val="21"/>
                <w:szCs w:val="21"/>
              </w:rPr>
              <w:t>30</w:t>
            </w:r>
            <w:r w:rsidRPr="007723AE">
              <w:rPr>
                <w:rFonts w:eastAsia="宋体" w:hAnsi="方正仿宋_GBK" w:cs="方正仿宋_GBK" w:hint="eastAsia"/>
                <w:sz w:val="21"/>
                <w:szCs w:val="21"/>
              </w:rPr>
              <w:t>吨以上</w:t>
            </w:r>
            <w:r w:rsidRPr="007723AE">
              <w:rPr>
                <w:rFonts w:eastAsia="宋体" w:cs="方正仿宋_GBK" w:hint="eastAsia"/>
                <w:sz w:val="21"/>
                <w:szCs w:val="21"/>
              </w:rPr>
              <w:t>100</w:t>
            </w:r>
            <w:r w:rsidRPr="007723AE">
              <w:rPr>
                <w:rFonts w:eastAsia="宋体" w:hAnsi="方正仿宋_GBK" w:cs="方正仿宋_GBK" w:hint="eastAsia"/>
                <w:sz w:val="21"/>
                <w:szCs w:val="21"/>
              </w:rPr>
              <w:t>吨（合金钢</w:t>
            </w:r>
            <w:r w:rsidRPr="007723AE">
              <w:rPr>
                <w:rFonts w:eastAsia="宋体" w:cs="方正仿宋_GBK" w:hint="eastAsia"/>
                <w:sz w:val="21"/>
                <w:szCs w:val="21"/>
              </w:rPr>
              <w:t>50</w:t>
            </w:r>
            <w:r w:rsidRPr="007723AE">
              <w:rPr>
                <w:rFonts w:eastAsia="宋体" w:hAnsi="方正仿宋_GBK" w:cs="方正仿宋_GBK" w:hint="eastAsia"/>
                <w:sz w:val="21"/>
                <w:szCs w:val="21"/>
              </w:rPr>
              <w:t>吨）以下电炉；公称容量</w:t>
            </w:r>
            <w:r w:rsidRPr="007723AE">
              <w:rPr>
                <w:rFonts w:eastAsia="宋体" w:cs="方正仿宋_GBK" w:hint="eastAsia"/>
                <w:sz w:val="21"/>
                <w:szCs w:val="21"/>
              </w:rPr>
              <w:t>100</w:t>
            </w:r>
            <w:r w:rsidRPr="007723AE">
              <w:rPr>
                <w:rFonts w:eastAsia="宋体" w:hAnsi="方正仿宋_GBK" w:cs="方正仿宋_GBK" w:hint="eastAsia"/>
                <w:sz w:val="21"/>
                <w:szCs w:val="21"/>
              </w:rPr>
              <w:t>吨（合金钢</w:t>
            </w:r>
            <w:r w:rsidRPr="007723AE">
              <w:rPr>
                <w:rFonts w:eastAsia="宋体" w:cs="方正仿宋_GBK" w:hint="eastAsia"/>
                <w:sz w:val="21"/>
                <w:szCs w:val="21"/>
              </w:rPr>
              <w:t>50</w:t>
            </w:r>
            <w:r w:rsidRPr="007723AE">
              <w:rPr>
                <w:rFonts w:eastAsia="宋体" w:hAnsi="方正仿宋_GBK" w:cs="方正仿宋_GBK" w:hint="eastAsia"/>
                <w:sz w:val="21"/>
                <w:szCs w:val="21"/>
              </w:rPr>
              <w:t>吨）及以上但未同步配套烟尘回收装置，能源消耗大于</w:t>
            </w:r>
            <w:r w:rsidRPr="007723AE">
              <w:rPr>
                <w:rFonts w:eastAsia="宋体" w:cs="方正仿宋_GBK" w:hint="eastAsia"/>
                <w:sz w:val="21"/>
                <w:szCs w:val="21"/>
              </w:rPr>
              <w:t>98</w:t>
            </w:r>
            <w:r w:rsidRPr="007723AE">
              <w:rPr>
                <w:rFonts w:eastAsia="宋体" w:hAnsi="方正仿宋_GBK" w:cs="方正仿宋_GBK" w:hint="eastAsia"/>
                <w:sz w:val="21"/>
                <w:szCs w:val="21"/>
              </w:rPr>
              <w:t>公斤标煤</w:t>
            </w:r>
            <w:r w:rsidRPr="007723AE">
              <w:rPr>
                <w:rFonts w:eastAsia="宋体" w:cs="方正仿宋_GBK" w:hint="eastAsia"/>
                <w:sz w:val="21"/>
                <w:szCs w:val="21"/>
              </w:rPr>
              <w:t>/</w:t>
            </w:r>
            <w:r w:rsidRPr="007723AE">
              <w:rPr>
                <w:rFonts w:eastAsia="宋体" w:hAnsi="方正仿宋_GBK" w:cs="方正仿宋_GBK" w:hint="eastAsia"/>
                <w:sz w:val="21"/>
                <w:szCs w:val="21"/>
              </w:rPr>
              <w:t>吨、新水耗量大于</w:t>
            </w:r>
            <w:r w:rsidRPr="007723AE">
              <w:rPr>
                <w:rFonts w:eastAsia="宋体" w:cs="方正仿宋_GBK" w:hint="eastAsia"/>
                <w:sz w:val="21"/>
                <w:szCs w:val="21"/>
              </w:rPr>
              <w:t>3.2</w:t>
            </w:r>
            <w:r w:rsidRPr="007723AE">
              <w:rPr>
                <w:rFonts w:eastAsia="宋体" w:hAnsi="方正仿宋_GBK" w:cs="方正仿宋_GBK" w:hint="eastAsia"/>
                <w:sz w:val="21"/>
                <w:szCs w:val="21"/>
              </w:rPr>
              <w:t>立方米</w:t>
            </w:r>
            <w:r w:rsidRPr="007723AE">
              <w:rPr>
                <w:rFonts w:eastAsia="宋体" w:cs="方正仿宋_GBK" w:hint="eastAsia"/>
                <w:sz w:val="21"/>
                <w:szCs w:val="21"/>
              </w:rPr>
              <w:t>/</w:t>
            </w:r>
            <w:r w:rsidRPr="007723AE">
              <w:rPr>
                <w:rFonts w:eastAsia="宋体" w:hAnsi="方正仿宋_GBK" w:cs="方正仿宋_GBK" w:hint="eastAsia"/>
                <w:sz w:val="21"/>
                <w:szCs w:val="21"/>
              </w:rPr>
              <w:t>吨等达不到标准的电炉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24</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1450</w:t>
            </w:r>
            <w:r w:rsidRPr="007723AE">
              <w:rPr>
                <w:rFonts w:eastAsia="宋体" w:hAnsi="方正仿宋_GBK" w:cs="方正仿宋_GBK" w:hint="eastAsia"/>
                <w:sz w:val="21"/>
                <w:szCs w:val="21"/>
              </w:rPr>
              <w:t>毫米以下热轧带钢（不含特殊钢）项生产线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25</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30</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年及以下热镀锌板卷生产线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26</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20</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年及以下彩色涂层板卷生产线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27</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含铬质耐火材料</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28</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普通功率和高功率石墨电极压型设备、焙烧设备和生产线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29</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直径</w:t>
            </w:r>
            <w:r w:rsidRPr="007723AE">
              <w:rPr>
                <w:rFonts w:eastAsia="宋体" w:cs="方正仿宋_GBK" w:hint="eastAsia"/>
                <w:sz w:val="21"/>
                <w:szCs w:val="21"/>
              </w:rPr>
              <w:t>600</w:t>
            </w:r>
            <w:r w:rsidRPr="007723AE">
              <w:rPr>
                <w:rFonts w:eastAsia="宋体" w:hAnsi="方正仿宋_GBK" w:cs="方正仿宋_GBK" w:hint="eastAsia"/>
                <w:sz w:val="21"/>
                <w:szCs w:val="21"/>
              </w:rPr>
              <w:t>毫米以下或</w:t>
            </w:r>
            <w:r w:rsidRPr="007723AE">
              <w:rPr>
                <w:rFonts w:eastAsia="宋体" w:cs="方正仿宋_GBK" w:hint="eastAsia"/>
                <w:sz w:val="21"/>
                <w:szCs w:val="21"/>
              </w:rPr>
              <w:t>2</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年以下的超高功率石墨电极生产线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30</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8</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年以下预焙阳极（炭块）、</w:t>
            </w:r>
            <w:r w:rsidRPr="007723AE">
              <w:rPr>
                <w:rFonts w:eastAsia="宋体" w:cs="方正仿宋_GBK" w:hint="eastAsia"/>
                <w:sz w:val="21"/>
                <w:szCs w:val="21"/>
              </w:rPr>
              <w:t>2</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年以下普通阴极炭块、</w:t>
            </w:r>
            <w:r w:rsidRPr="007723AE">
              <w:rPr>
                <w:rFonts w:eastAsia="宋体" w:cs="方正仿宋_GBK" w:hint="eastAsia"/>
                <w:sz w:val="21"/>
                <w:szCs w:val="21"/>
              </w:rPr>
              <w:t>4</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年以下炭电极生产线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31</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单机</w:t>
            </w:r>
            <w:r w:rsidRPr="007723AE">
              <w:rPr>
                <w:rFonts w:eastAsia="宋体" w:cs="方正仿宋_GBK" w:hint="eastAsia"/>
                <w:sz w:val="21"/>
                <w:szCs w:val="21"/>
              </w:rPr>
              <w:t>120</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年以下的球团设备（铁合金球团除外）</w:t>
            </w:r>
          </w:p>
        </w:tc>
      </w:tr>
      <w:tr w:rsidR="00E145E8" w:rsidRPr="007723AE" w:rsidTr="008D10B1">
        <w:trPr>
          <w:jc w:val="center"/>
        </w:trPr>
        <w:tc>
          <w:tcPr>
            <w:tcW w:w="583" w:type="dxa"/>
            <w:shd w:val="clear" w:color="auto" w:fill="auto"/>
            <w:noWrap/>
            <w:vAlign w:val="center"/>
          </w:tcPr>
          <w:p w:rsidR="00E145E8" w:rsidRPr="007723AE" w:rsidRDefault="00E145E8" w:rsidP="008D10B1">
            <w:pPr>
              <w:widowControl/>
              <w:adjustRightInd w:val="0"/>
              <w:spacing w:line="235" w:lineRule="auto"/>
              <w:ind w:firstLine="0"/>
              <w:jc w:val="center"/>
              <w:rPr>
                <w:rFonts w:eastAsia="宋体" w:cs="方正仿宋_GBK"/>
                <w:color w:val="000000"/>
                <w:sz w:val="21"/>
                <w:szCs w:val="21"/>
              </w:rPr>
            </w:pPr>
          </w:p>
        </w:tc>
        <w:tc>
          <w:tcPr>
            <w:tcW w:w="8318" w:type="dxa"/>
            <w:gridSpan w:val="2"/>
            <w:shd w:val="clear" w:color="auto" w:fill="auto"/>
            <w:vAlign w:val="center"/>
          </w:tcPr>
          <w:p w:rsidR="00E145E8" w:rsidRPr="007723AE" w:rsidRDefault="00E145E8" w:rsidP="008D10B1">
            <w:pPr>
              <w:widowControl/>
              <w:adjustRightInd w:val="0"/>
              <w:spacing w:line="235" w:lineRule="auto"/>
              <w:ind w:firstLine="0"/>
              <w:rPr>
                <w:rFonts w:eastAsia="宋体" w:hAnsi="方正仿宋_GBK" w:cs="方正仿宋_GBK"/>
                <w:sz w:val="21"/>
                <w:szCs w:val="21"/>
              </w:rPr>
            </w:pPr>
          </w:p>
        </w:tc>
      </w:tr>
      <w:tr w:rsidR="008D10B1" w:rsidRPr="007723AE" w:rsidTr="008D10B1">
        <w:trPr>
          <w:jc w:val="center"/>
        </w:trPr>
        <w:tc>
          <w:tcPr>
            <w:tcW w:w="8901" w:type="dxa"/>
            <w:gridSpan w:val="3"/>
            <w:shd w:val="clear" w:color="auto" w:fill="auto"/>
            <w:noWrap/>
            <w:vAlign w:val="center"/>
          </w:tcPr>
          <w:p w:rsidR="008D10B1" w:rsidRPr="00E145E8" w:rsidRDefault="008D10B1" w:rsidP="008D10B1">
            <w:pPr>
              <w:widowControl/>
              <w:adjustRightInd w:val="0"/>
              <w:spacing w:line="240" w:lineRule="auto"/>
              <w:ind w:firstLine="0"/>
              <w:jc w:val="center"/>
              <w:rPr>
                <w:rFonts w:eastAsia="方正黑体_GBK" w:cs="宋体"/>
                <w:sz w:val="44"/>
                <w:szCs w:val="44"/>
              </w:rPr>
            </w:pPr>
            <w:r w:rsidRPr="00E145E8">
              <w:rPr>
                <w:rFonts w:eastAsia="方正黑体_GBK" w:cs="宋体" w:hint="eastAsia"/>
                <w:sz w:val="44"/>
                <w:szCs w:val="44"/>
              </w:rPr>
              <w:t>二、淘汰类</w:t>
            </w:r>
          </w:p>
        </w:tc>
      </w:tr>
      <w:tr w:rsidR="008D10B1" w:rsidRPr="007723AE" w:rsidTr="008D10B1">
        <w:trPr>
          <w:jc w:val="center"/>
        </w:trPr>
        <w:tc>
          <w:tcPr>
            <w:tcW w:w="583" w:type="dxa"/>
            <w:shd w:val="clear" w:color="auto" w:fill="auto"/>
            <w:noWrap/>
            <w:tcMar>
              <w:left w:w="57" w:type="dxa"/>
              <w:right w:w="57" w:type="dxa"/>
            </w:tcMar>
            <w:vAlign w:val="center"/>
          </w:tcPr>
          <w:p w:rsidR="008D10B1" w:rsidRPr="007723AE" w:rsidRDefault="008D10B1" w:rsidP="008D10B1">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序号</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内容</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 xml:space="preserve">　</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（一）落后生产工艺装备</w:t>
            </w:r>
          </w:p>
        </w:tc>
      </w:tr>
      <w:tr w:rsidR="008D10B1" w:rsidRPr="007723AE" w:rsidTr="008D10B1">
        <w:trPr>
          <w:jc w:val="center"/>
        </w:trPr>
        <w:tc>
          <w:tcPr>
            <w:tcW w:w="8901" w:type="dxa"/>
            <w:gridSpan w:val="3"/>
            <w:shd w:val="clear" w:color="auto" w:fill="auto"/>
            <w:vAlign w:val="center"/>
          </w:tcPr>
          <w:p w:rsidR="008D10B1" w:rsidRPr="007723AE" w:rsidRDefault="00E145E8" w:rsidP="008D10B1">
            <w:pPr>
              <w:widowControl/>
              <w:adjustRightInd w:val="0"/>
              <w:spacing w:line="240" w:lineRule="auto"/>
              <w:ind w:firstLine="0"/>
              <w:jc w:val="center"/>
              <w:rPr>
                <w:rFonts w:eastAsia="方正黑体_GBK" w:cs="宋体"/>
                <w:sz w:val="21"/>
                <w:szCs w:val="21"/>
              </w:rPr>
            </w:pPr>
            <w:r>
              <w:rPr>
                <w:rFonts w:eastAsia="方正黑体_GBK" w:cs="宋体" w:hint="eastAsia"/>
                <w:sz w:val="21"/>
                <w:szCs w:val="21"/>
              </w:rPr>
              <w:t>……</w:t>
            </w:r>
          </w:p>
        </w:tc>
      </w:tr>
      <w:tr w:rsidR="008D10B1" w:rsidRPr="007723AE" w:rsidTr="008D10B1">
        <w:trPr>
          <w:jc w:val="center"/>
        </w:trPr>
        <w:tc>
          <w:tcPr>
            <w:tcW w:w="8901" w:type="dxa"/>
            <w:gridSpan w:val="3"/>
            <w:shd w:val="clear" w:color="auto" w:fill="auto"/>
            <w:vAlign w:val="center"/>
          </w:tcPr>
          <w:p w:rsidR="008D10B1" w:rsidRPr="007723AE" w:rsidRDefault="008D10B1" w:rsidP="008D10B1">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4</w:t>
            </w:r>
            <w:r w:rsidR="002B4400">
              <w:rPr>
                <w:rFonts w:eastAsia="方正黑体_GBK" w:cs="宋体" w:hint="eastAsia"/>
                <w:sz w:val="21"/>
                <w:szCs w:val="21"/>
              </w:rPr>
              <w:t>．</w:t>
            </w:r>
            <w:r w:rsidRPr="007723AE">
              <w:rPr>
                <w:rFonts w:eastAsia="方正黑体_GBK" w:cs="宋体" w:hint="eastAsia"/>
                <w:sz w:val="21"/>
                <w:szCs w:val="21"/>
              </w:rPr>
              <w:t>钢铁</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24</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土法炼焦（含改良焦炉）；单炉产能</w:t>
            </w:r>
            <w:r w:rsidRPr="007723AE">
              <w:rPr>
                <w:rFonts w:eastAsia="宋体" w:cs="方正仿宋_GBK" w:hint="eastAsia"/>
                <w:sz w:val="21"/>
                <w:szCs w:val="21"/>
              </w:rPr>
              <w:t>5</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年以下或无煤气、焦油回收利用和污水处理达不到准入条件的半焦（兰炭）生产装置</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25</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炭化室高度小于</w:t>
            </w:r>
            <w:r w:rsidRPr="007723AE">
              <w:rPr>
                <w:rFonts w:eastAsia="宋体" w:cs="方正仿宋_GBK" w:hint="eastAsia"/>
                <w:sz w:val="21"/>
                <w:szCs w:val="21"/>
              </w:rPr>
              <w:t>4.3</w:t>
            </w:r>
            <w:r w:rsidRPr="007723AE">
              <w:rPr>
                <w:rFonts w:eastAsia="宋体" w:hAnsi="方正仿宋_GBK" w:cs="方正仿宋_GBK" w:hint="eastAsia"/>
                <w:sz w:val="21"/>
                <w:szCs w:val="21"/>
              </w:rPr>
              <w:t>米焦炉（</w:t>
            </w:r>
            <w:r w:rsidRPr="007723AE">
              <w:rPr>
                <w:rFonts w:eastAsia="宋体" w:cs="方正仿宋_GBK" w:hint="eastAsia"/>
                <w:sz w:val="21"/>
                <w:szCs w:val="21"/>
              </w:rPr>
              <w:t>3.8</w:t>
            </w:r>
            <w:r w:rsidRPr="007723AE">
              <w:rPr>
                <w:rFonts w:eastAsia="宋体" w:hAnsi="方正仿宋_GBK" w:cs="方正仿宋_GBK" w:hint="eastAsia"/>
                <w:sz w:val="21"/>
                <w:szCs w:val="21"/>
              </w:rPr>
              <w:t>米及以上捣固焦炉除外）；无化产回收的单一炼焦生产设施</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26</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土烧结矿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lastRenderedPageBreak/>
              <w:t>27</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热烧结矿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28</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cs="方正仿宋_GBK" w:hint="eastAsia"/>
                <w:sz w:val="21"/>
                <w:szCs w:val="21"/>
              </w:rPr>
              <w:t>90</w:t>
            </w:r>
            <w:r w:rsidRPr="007723AE">
              <w:rPr>
                <w:rFonts w:eastAsia="宋体" w:hAnsi="方正仿宋_GBK" w:cs="方正仿宋_GBK" w:hint="eastAsia"/>
                <w:sz w:val="21"/>
                <w:szCs w:val="21"/>
              </w:rPr>
              <w:t>平方米以下烧结机（</w:t>
            </w:r>
            <w:r w:rsidRPr="007723AE">
              <w:rPr>
                <w:rFonts w:eastAsia="宋体" w:cs="方正仿宋_GBK" w:hint="eastAsia"/>
                <w:sz w:val="21"/>
                <w:szCs w:val="21"/>
              </w:rPr>
              <w:t>2013</w:t>
            </w:r>
            <w:r w:rsidRPr="007723AE">
              <w:rPr>
                <w:rFonts w:eastAsia="宋体" w:hAnsi="方正仿宋_GBK" w:cs="方正仿宋_GBK" w:hint="eastAsia"/>
                <w:sz w:val="21"/>
                <w:szCs w:val="21"/>
              </w:rPr>
              <w:t>年）、</w:t>
            </w:r>
            <w:r w:rsidRPr="007723AE">
              <w:rPr>
                <w:rFonts w:eastAsia="宋体" w:cs="方正仿宋_GBK" w:hint="eastAsia"/>
                <w:sz w:val="21"/>
                <w:szCs w:val="21"/>
              </w:rPr>
              <w:t>8</w:t>
            </w:r>
            <w:r w:rsidRPr="007723AE">
              <w:rPr>
                <w:rFonts w:eastAsia="宋体" w:hAnsi="方正仿宋_GBK" w:cs="方正仿宋_GBK" w:hint="eastAsia"/>
                <w:sz w:val="21"/>
                <w:szCs w:val="21"/>
              </w:rPr>
              <w:t>平方米以下球团竖炉；铁合金生产用</w:t>
            </w:r>
            <w:r w:rsidRPr="007723AE">
              <w:rPr>
                <w:rFonts w:eastAsia="宋体" w:cs="方正仿宋_GBK" w:hint="eastAsia"/>
                <w:sz w:val="21"/>
                <w:szCs w:val="21"/>
              </w:rPr>
              <w:t>24</w:t>
            </w:r>
            <w:r w:rsidRPr="007723AE">
              <w:rPr>
                <w:rFonts w:eastAsia="宋体" w:hAnsi="方正仿宋_GBK" w:cs="方正仿宋_GBK" w:hint="eastAsia"/>
                <w:sz w:val="21"/>
                <w:szCs w:val="21"/>
              </w:rPr>
              <w:t>平方米以下带式锰矿、铬矿烧结机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29</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cs="方正仿宋_GBK" w:hint="eastAsia"/>
                <w:sz w:val="21"/>
                <w:szCs w:val="21"/>
              </w:rPr>
              <w:t>400</w:t>
            </w:r>
            <w:r w:rsidRPr="007723AE">
              <w:rPr>
                <w:rFonts w:eastAsia="宋体" w:hAnsi="方正仿宋_GBK" w:cs="方正仿宋_GBK" w:hint="eastAsia"/>
                <w:sz w:val="21"/>
                <w:szCs w:val="21"/>
              </w:rPr>
              <w:t>立方米及以下炼铁高炉（铸造铁企业除外，但需提供企业工商局注册证明、三年销售凭证和项目核准手续等），</w:t>
            </w:r>
            <w:r w:rsidRPr="007723AE">
              <w:rPr>
                <w:rFonts w:eastAsia="宋体" w:cs="方正仿宋_GBK" w:hint="eastAsia"/>
                <w:sz w:val="21"/>
                <w:szCs w:val="21"/>
              </w:rPr>
              <w:t>200</w:t>
            </w:r>
            <w:r w:rsidRPr="007723AE">
              <w:rPr>
                <w:rFonts w:eastAsia="宋体" w:hAnsi="方正仿宋_GBK" w:cs="方正仿宋_GBK" w:hint="eastAsia"/>
                <w:sz w:val="21"/>
                <w:szCs w:val="21"/>
              </w:rPr>
              <w:t>立方米及以下铁合金、铸铁管生产用高炉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30</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用于地条钢、普碳钢、不锈钢冶炼的工频和中频感应炉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31</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cs="方正仿宋_GBK" w:hint="eastAsia"/>
                <w:sz w:val="21"/>
                <w:szCs w:val="21"/>
              </w:rPr>
              <w:t>30</w:t>
            </w:r>
            <w:r w:rsidRPr="007723AE">
              <w:rPr>
                <w:rFonts w:eastAsia="宋体" w:hAnsi="方正仿宋_GBK" w:cs="方正仿宋_GBK" w:hint="eastAsia"/>
                <w:sz w:val="21"/>
                <w:szCs w:val="21"/>
              </w:rPr>
              <w:t>吨及以下转炉（不含铁合金转炉）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32</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cs="方正仿宋_GBK" w:hint="eastAsia"/>
                <w:sz w:val="21"/>
                <w:szCs w:val="21"/>
              </w:rPr>
              <w:t>30</w:t>
            </w:r>
            <w:r w:rsidRPr="007723AE">
              <w:rPr>
                <w:rFonts w:eastAsia="宋体" w:hAnsi="方正仿宋_GBK" w:cs="方正仿宋_GBK" w:hint="eastAsia"/>
                <w:sz w:val="21"/>
                <w:szCs w:val="21"/>
              </w:rPr>
              <w:t>吨及以下电炉（不含机械铸造电炉）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33</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化铁炼钢</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34</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复二重线材轧机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35</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横列式线材轧机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36</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横列式棒材及型材轧机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37</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叠轧薄板轧机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38</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普钢初轧机及开坯用中型轧机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39</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热轧窄带钢轧机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40</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三辊劳特式中板轧机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41</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直径</w:t>
            </w:r>
            <w:r w:rsidRPr="007723AE">
              <w:rPr>
                <w:rFonts w:eastAsia="宋体" w:cs="方正仿宋_GBK" w:hint="eastAsia"/>
                <w:sz w:val="21"/>
                <w:szCs w:val="21"/>
              </w:rPr>
              <w:t>76</w:t>
            </w:r>
            <w:r w:rsidRPr="007723AE">
              <w:rPr>
                <w:rFonts w:eastAsia="宋体" w:hAnsi="方正仿宋_GBK" w:cs="方正仿宋_GBK" w:hint="eastAsia"/>
                <w:sz w:val="21"/>
                <w:szCs w:val="21"/>
              </w:rPr>
              <w:t>毫米以下热轧无缝管机组</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42</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三辊式型线材轧机（不含特殊钢生产）</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43</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环保不达标的冶金炉窑</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44</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手工操作的土沥青焦油浸渍装置，矿石原料与固体原料混烧、自然通风、手工操作的土竖窑，以煤直接为燃料、烟尘净化不能达标的倒焰窑</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45</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cs="方正仿宋_GBK" w:hint="eastAsia"/>
                <w:sz w:val="21"/>
                <w:szCs w:val="21"/>
              </w:rPr>
              <w:t>6300</w:t>
            </w:r>
            <w:r w:rsidRPr="007723AE">
              <w:rPr>
                <w:rFonts w:eastAsia="宋体" w:hAnsi="方正仿宋_GBK" w:cs="方正仿宋_GBK" w:hint="eastAsia"/>
                <w:sz w:val="21"/>
                <w:szCs w:val="21"/>
              </w:rPr>
              <w:t>千伏安以下铁合金矿热电炉，</w:t>
            </w:r>
            <w:r w:rsidRPr="007723AE">
              <w:rPr>
                <w:rFonts w:eastAsia="宋体" w:cs="方正仿宋_GBK" w:hint="eastAsia"/>
                <w:sz w:val="21"/>
                <w:szCs w:val="21"/>
              </w:rPr>
              <w:t>3000</w:t>
            </w:r>
            <w:r w:rsidRPr="007723AE">
              <w:rPr>
                <w:rFonts w:eastAsia="宋体" w:hAnsi="方正仿宋_GBK" w:cs="方正仿宋_GBK" w:hint="eastAsia"/>
                <w:sz w:val="21"/>
                <w:szCs w:val="21"/>
              </w:rPr>
              <w:t>千伏安以下铁合金半封闭直流电炉、铁合金精炼电炉（钨铁、钒铁等特殊品种的电炉除外）</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46</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蒸汽加热混捏、倒焰式焙烧炉、艾奇逊交流石墨化炉、</w:t>
            </w:r>
            <w:r w:rsidRPr="007723AE">
              <w:rPr>
                <w:rFonts w:eastAsia="宋体" w:cs="方正仿宋_GBK" w:hint="eastAsia"/>
                <w:sz w:val="21"/>
                <w:szCs w:val="21"/>
              </w:rPr>
              <w:t>10000</w:t>
            </w:r>
            <w:r w:rsidRPr="007723AE">
              <w:rPr>
                <w:rFonts w:eastAsia="宋体" w:hAnsi="方正仿宋_GBK" w:cs="方正仿宋_GBK" w:hint="eastAsia"/>
                <w:sz w:val="21"/>
                <w:szCs w:val="21"/>
              </w:rPr>
              <w:t>千伏安及以下三相桥式整流艾奇逊直流石墨化炉及其并联机组</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47</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单机产能</w:t>
            </w:r>
            <w:r w:rsidRPr="007723AE">
              <w:rPr>
                <w:rFonts w:eastAsia="宋体" w:cs="方正仿宋_GBK" w:hint="eastAsia"/>
                <w:sz w:val="21"/>
                <w:szCs w:val="21"/>
              </w:rPr>
              <w:t>1</w:t>
            </w:r>
            <w:r w:rsidRPr="007723AE">
              <w:rPr>
                <w:rFonts w:eastAsia="宋体" w:hAnsi="方正仿宋_GBK" w:cs="方正仿宋_GBK" w:hint="eastAsia"/>
                <w:sz w:val="21"/>
                <w:szCs w:val="21"/>
              </w:rPr>
              <w:t>万吨及以下的冷轧带肋钢筋生产装备（</w:t>
            </w:r>
            <w:r w:rsidRPr="007723AE">
              <w:rPr>
                <w:rFonts w:eastAsia="宋体" w:cs="方正仿宋_GBK" w:hint="eastAsia"/>
                <w:sz w:val="21"/>
                <w:szCs w:val="21"/>
              </w:rPr>
              <w:t>2012</w:t>
            </w:r>
            <w:r w:rsidRPr="007723AE">
              <w:rPr>
                <w:rFonts w:eastAsia="宋体" w:hAnsi="方正仿宋_GBK" w:cs="方正仿宋_GBK" w:hint="eastAsia"/>
                <w:sz w:val="21"/>
                <w:szCs w:val="21"/>
              </w:rPr>
              <w:t>年，高延性冷轧带肋钢筋生产装备除外）</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48</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生产预应力钢丝的单罐拉丝机生产装备</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49</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rPr>
                <w:rFonts w:eastAsia="宋体" w:cs="方正仿宋_GBK"/>
                <w:sz w:val="21"/>
                <w:szCs w:val="21"/>
              </w:rPr>
            </w:pPr>
            <w:r w:rsidRPr="007723AE">
              <w:rPr>
                <w:rFonts w:eastAsia="宋体" w:hAnsi="方正仿宋_GBK" w:cs="方正仿宋_GBK" w:hint="eastAsia"/>
                <w:sz w:val="21"/>
                <w:szCs w:val="21"/>
              </w:rPr>
              <w:t>预应力钢材生产消除应力处理的铅淬火工艺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50</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2.5</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年及以下的单套粗（轻）苯精制装置（酸洗蒸馏法苯加工工艺及装置）</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51</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5</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年及以下的单套煤焦油加工装置</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52</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100</w:t>
            </w:r>
            <w:r w:rsidRPr="007723AE">
              <w:rPr>
                <w:rFonts w:eastAsia="宋体" w:hAnsi="方正仿宋_GBK" w:cs="方正仿宋_GBK" w:hint="eastAsia"/>
                <w:sz w:val="21"/>
                <w:szCs w:val="21"/>
              </w:rPr>
              <w:t>立方米及以下铁合金锰铁高炉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53</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煅烧石灰土窑</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54</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每炉单产</w:t>
            </w:r>
            <w:r w:rsidRPr="007723AE">
              <w:rPr>
                <w:rFonts w:eastAsia="宋体" w:cs="方正仿宋_GBK" w:hint="eastAsia"/>
                <w:sz w:val="21"/>
                <w:szCs w:val="21"/>
              </w:rPr>
              <w:t>5</w:t>
            </w:r>
            <w:r w:rsidRPr="007723AE">
              <w:rPr>
                <w:rFonts w:eastAsia="宋体" w:hAnsi="方正仿宋_GBK" w:cs="方正仿宋_GBK" w:hint="eastAsia"/>
                <w:sz w:val="21"/>
                <w:szCs w:val="21"/>
              </w:rPr>
              <w:t>吨以下的钛铁熔炼炉、用反射炉焙烧钼精矿的钼铁生产线及用反射炉还原、煅烧红矾钠、铬酐生产金属铬的生产线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55</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燃煤倒焰窑耐火材料及原料制品生产线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56</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单条生产线规模小于</w:t>
            </w:r>
            <w:r w:rsidRPr="007723AE">
              <w:rPr>
                <w:rFonts w:eastAsia="宋体" w:cs="方正仿宋_GBK" w:hint="eastAsia"/>
                <w:sz w:val="21"/>
                <w:szCs w:val="21"/>
              </w:rPr>
              <w:t>20</w:t>
            </w:r>
            <w:r w:rsidRPr="007723AE">
              <w:rPr>
                <w:rFonts w:eastAsia="宋体" w:hAnsi="方正仿宋_GBK" w:cs="方正仿宋_GBK" w:hint="eastAsia"/>
                <w:sz w:val="21"/>
                <w:szCs w:val="21"/>
              </w:rPr>
              <w:t>万吨的铸铁管</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57</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环形烧结机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58</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一段式固定煤气发生炉项目（不含粉煤气化炉）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59</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电解金属锰用</w:t>
            </w:r>
            <w:r w:rsidRPr="007723AE">
              <w:rPr>
                <w:rFonts w:eastAsia="宋体" w:cs="方正仿宋_GBK" w:hint="eastAsia"/>
                <w:sz w:val="21"/>
                <w:szCs w:val="21"/>
              </w:rPr>
              <w:t>5000</w:t>
            </w:r>
            <w:r w:rsidRPr="007723AE">
              <w:rPr>
                <w:rFonts w:eastAsia="宋体" w:hAnsi="方正仿宋_GBK" w:cs="方正仿宋_GBK" w:hint="eastAsia"/>
                <w:sz w:val="21"/>
                <w:szCs w:val="21"/>
              </w:rPr>
              <w:t>千伏安及以下的整流变压器、</w:t>
            </w:r>
            <w:r w:rsidRPr="007723AE">
              <w:rPr>
                <w:rFonts w:eastAsia="宋体" w:cs="方正仿宋_GBK" w:hint="eastAsia"/>
                <w:sz w:val="21"/>
                <w:szCs w:val="21"/>
              </w:rPr>
              <w:t>150</w:t>
            </w:r>
            <w:r w:rsidRPr="007723AE">
              <w:rPr>
                <w:rFonts w:eastAsia="宋体" w:hAnsi="方正仿宋_GBK" w:cs="方正仿宋_GBK" w:hint="eastAsia"/>
                <w:sz w:val="21"/>
                <w:szCs w:val="21"/>
              </w:rPr>
              <w:t>立方米以下的化合槽，化合槽有效容积</w:t>
            </w:r>
            <w:r w:rsidRPr="007723AE">
              <w:rPr>
                <w:rFonts w:eastAsia="宋体" w:cs="方正仿宋_GBK" w:hint="eastAsia"/>
                <w:sz w:val="21"/>
                <w:szCs w:val="21"/>
              </w:rPr>
              <w:t>150</w:t>
            </w:r>
            <w:r w:rsidRPr="007723AE">
              <w:rPr>
                <w:rFonts w:eastAsia="宋体" w:hAnsi="方正仿宋_GBK" w:cs="方正仿宋_GBK" w:hint="eastAsia"/>
                <w:sz w:val="21"/>
                <w:szCs w:val="21"/>
              </w:rPr>
              <w:t>立方米以下的生产设备</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60</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单炉产能</w:t>
            </w:r>
            <w:r w:rsidRPr="007723AE">
              <w:rPr>
                <w:rFonts w:eastAsia="宋体" w:cs="方正仿宋_GBK" w:hint="eastAsia"/>
                <w:sz w:val="21"/>
                <w:szCs w:val="21"/>
              </w:rPr>
              <w:t>7.5</w:t>
            </w:r>
            <w:r w:rsidRPr="007723AE">
              <w:rPr>
                <w:rFonts w:eastAsia="宋体" w:hAnsi="方正仿宋_GBK" w:cs="方正仿宋_GBK" w:hint="eastAsia"/>
                <w:sz w:val="21"/>
                <w:szCs w:val="21"/>
              </w:rPr>
              <w:t>万吨</w:t>
            </w:r>
            <w:r w:rsidRPr="007723AE">
              <w:rPr>
                <w:rFonts w:eastAsia="宋体" w:cs="方正仿宋_GBK" w:hint="eastAsia"/>
                <w:sz w:val="21"/>
                <w:szCs w:val="21"/>
              </w:rPr>
              <w:t>/</w:t>
            </w:r>
            <w:r w:rsidRPr="007723AE">
              <w:rPr>
                <w:rFonts w:eastAsia="宋体" w:hAnsi="方正仿宋_GBK" w:cs="方正仿宋_GBK" w:hint="eastAsia"/>
                <w:sz w:val="21"/>
                <w:szCs w:val="21"/>
              </w:rPr>
              <w:t>年以下的半焦（兰炭）生产装置</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61</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未达到焦化行业准入条件要求的热回收焦炉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62</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cs="方正仿宋_GBK" w:hint="eastAsia"/>
                <w:sz w:val="21"/>
                <w:szCs w:val="21"/>
              </w:rPr>
              <w:t>6300</w:t>
            </w:r>
            <w:r w:rsidRPr="007723AE">
              <w:rPr>
                <w:rFonts w:eastAsia="宋体" w:hAnsi="方正仿宋_GBK" w:cs="方正仿宋_GBK" w:hint="eastAsia"/>
                <w:sz w:val="21"/>
                <w:szCs w:val="21"/>
              </w:rPr>
              <w:t>千伏安铁合金矿热电炉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63</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还原二氧化锰用反射炉（包括硫酸锰厂用反射炉、矿粉厂用反射炉等）</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64</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电解金属锰一次压滤用除高压隔膜压滤机以外的板框、箱式压滤机</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lastRenderedPageBreak/>
              <w:t>65</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电解金属锰用</w:t>
            </w:r>
            <w:r w:rsidRPr="007723AE">
              <w:rPr>
                <w:rFonts w:eastAsia="宋体" w:cs="方正仿宋_GBK" w:hint="eastAsia"/>
                <w:sz w:val="21"/>
                <w:szCs w:val="21"/>
              </w:rPr>
              <w:t>5000</w:t>
            </w:r>
            <w:r w:rsidRPr="007723AE">
              <w:rPr>
                <w:rFonts w:eastAsia="宋体" w:hAnsi="方正仿宋_GBK" w:cs="方正仿宋_GBK" w:hint="eastAsia"/>
                <w:sz w:val="21"/>
                <w:szCs w:val="21"/>
              </w:rPr>
              <w:t>千伏安以上、</w:t>
            </w:r>
            <w:r w:rsidRPr="007723AE">
              <w:rPr>
                <w:rFonts w:eastAsia="宋体" w:cs="方正仿宋_GBK" w:hint="eastAsia"/>
                <w:sz w:val="21"/>
                <w:szCs w:val="21"/>
              </w:rPr>
              <w:t>6000</w:t>
            </w:r>
            <w:r w:rsidRPr="007723AE">
              <w:rPr>
                <w:rFonts w:eastAsia="宋体" w:hAnsi="方正仿宋_GBK" w:cs="方正仿宋_GBK" w:hint="eastAsia"/>
                <w:sz w:val="21"/>
                <w:szCs w:val="21"/>
              </w:rPr>
              <w:t>千伏安及以下的整流变压器；</w:t>
            </w:r>
            <w:r w:rsidRPr="007723AE">
              <w:rPr>
                <w:rFonts w:eastAsia="宋体" w:cs="方正仿宋_GBK" w:hint="eastAsia"/>
                <w:sz w:val="21"/>
                <w:szCs w:val="21"/>
              </w:rPr>
              <w:t>150</w:t>
            </w:r>
            <w:r w:rsidRPr="007723AE">
              <w:rPr>
                <w:rFonts w:eastAsia="宋体" w:hAnsi="方正仿宋_GBK" w:cs="方正仿宋_GBK" w:hint="eastAsia"/>
                <w:sz w:val="21"/>
                <w:szCs w:val="21"/>
              </w:rPr>
              <w:t>立方米以上、</w:t>
            </w:r>
            <w:r w:rsidRPr="007723AE">
              <w:rPr>
                <w:rFonts w:eastAsia="宋体" w:cs="方正仿宋_GBK" w:hint="eastAsia"/>
                <w:sz w:val="21"/>
                <w:szCs w:val="21"/>
              </w:rPr>
              <w:t>170</w:t>
            </w:r>
            <w:r w:rsidRPr="007723AE">
              <w:rPr>
                <w:rFonts w:eastAsia="宋体" w:hAnsi="方正仿宋_GBK" w:cs="方正仿宋_GBK" w:hint="eastAsia"/>
                <w:sz w:val="21"/>
                <w:szCs w:val="21"/>
              </w:rPr>
              <w:t>立方米及以下的倾倒槽（</w:t>
            </w:r>
            <w:r w:rsidRPr="007723AE">
              <w:rPr>
                <w:rFonts w:eastAsia="宋体" w:cs="方正仿宋_GBK" w:hint="eastAsia"/>
                <w:sz w:val="21"/>
                <w:szCs w:val="21"/>
              </w:rPr>
              <w:t>2014</w:t>
            </w:r>
            <w:r w:rsidRPr="007723AE">
              <w:rPr>
                <w:rFonts w:eastAsia="宋体" w:hAnsi="方正仿宋_GBK" w:cs="方正仿宋_GBK" w:hint="eastAsia"/>
                <w:sz w:val="21"/>
                <w:szCs w:val="21"/>
              </w:rPr>
              <w:t>年）</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66</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有效容积</w:t>
            </w:r>
            <w:r w:rsidRPr="007723AE">
              <w:rPr>
                <w:rFonts w:eastAsia="宋体" w:cs="方正仿宋_GBK" w:hint="eastAsia"/>
                <w:sz w:val="21"/>
                <w:szCs w:val="21"/>
              </w:rPr>
              <w:t>18</w:t>
            </w:r>
            <w:r w:rsidRPr="007723AE">
              <w:rPr>
                <w:rFonts w:eastAsia="宋体" w:hAnsi="方正仿宋_GBK" w:cs="方正仿宋_GBK" w:hint="eastAsia"/>
                <w:sz w:val="21"/>
                <w:szCs w:val="21"/>
              </w:rPr>
              <w:t>立方米及以下轻烧反射窑</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35"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67</w:t>
            </w:r>
          </w:p>
        </w:tc>
        <w:tc>
          <w:tcPr>
            <w:tcW w:w="8318" w:type="dxa"/>
            <w:gridSpan w:val="2"/>
            <w:shd w:val="clear" w:color="auto" w:fill="auto"/>
            <w:vAlign w:val="center"/>
          </w:tcPr>
          <w:p w:rsidR="008D10B1" w:rsidRPr="007723AE" w:rsidRDefault="008D10B1" w:rsidP="008D10B1">
            <w:pPr>
              <w:widowControl/>
              <w:adjustRightInd w:val="0"/>
              <w:spacing w:line="235" w:lineRule="auto"/>
              <w:ind w:firstLine="0"/>
              <w:rPr>
                <w:rFonts w:eastAsia="宋体" w:cs="方正仿宋_GBK"/>
                <w:sz w:val="21"/>
                <w:szCs w:val="21"/>
              </w:rPr>
            </w:pPr>
            <w:r w:rsidRPr="007723AE">
              <w:rPr>
                <w:rFonts w:eastAsia="宋体" w:hAnsi="方正仿宋_GBK" w:cs="方正仿宋_GBK" w:hint="eastAsia"/>
                <w:sz w:val="21"/>
                <w:szCs w:val="21"/>
              </w:rPr>
              <w:t>有效容积</w:t>
            </w:r>
            <w:r w:rsidRPr="007723AE">
              <w:rPr>
                <w:rFonts w:eastAsia="宋体" w:cs="方正仿宋_GBK" w:hint="eastAsia"/>
                <w:sz w:val="21"/>
                <w:szCs w:val="21"/>
              </w:rPr>
              <w:t>30</w:t>
            </w:r>
            <w:r w:rsidRPr="007723AE">
              <w:rPr>
                <w:rFonts w:eastAsia="宋体" w:hAnsi="方正仿宋_GBK" w:cs="方正仿宋_GBK" w:hint="eastAsia"/>
                <w:sz w:val="21"/>
                <w:szCs w:val="21"/>
              </w:rPr>
              <w:t>立方米及以下重烧镁砂竖窑</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方正黑体_GBK" w:cs="方正仿宋_GBK"/>
                <w:color w:val="000000"/>
                <w:sz w:val="21"/>
                <w:szCs w:val="21"/>
              </w:rPr>
            </w:pPr>
            <w:r w:rsidRPr="007723AE">
              <w:rPr>
                <w:rFonts w:eastAsia="方正黑体_GBK" w:cs="方正仿宋_GBK" w:hint="eastAsia"/>
                <w:color w:val="000000"/>
                <w:sz w:val="21"/>
                <w:szCs w:val="21"/>
              </w:rPr>
              <w:t xml:space="preserve">　</w:t>
            </w:r>
          </w:p>
        </w:tc>
        <w:tc>
          <w:tcPr>
            <w:tcW w:w="8318" w:type="dxa"/>
            <w:gridSpan w:val="2"/>
            <w:shd w:val="clear" w:color="auto" w:fill="auto"/>
            <w:vAlign w:val="center"/>
          </w:tcPr>
          <w:p w:rsidR="008D10B1" w:rsidRPr="007723AE" w:rsidRDefault="008D10B1" w:rsidP="002B4400">
            <w:pPr>
              <w:widowControl/>
              <w:adjustRightInd w:val="0"/>
              <w:spacing w:line="240" w:lineRule="auto"/>
              <w:ind w:firstLine="0"/>
              <w:jc w:val="center"/>
              <w:rPr>
                <w:rFonts w:eastAsia="方正黑体_GBK" w:cs="宋体"/>
                <w:sz w:val="21"/>
                <w:szCs w:val="21"/>
              </w:rPr>
            </w:pPr>
            <w:r w:rsidRPr="007723AE">
              <w:rPr>
                <w:rFonts w:eastAsia="方正黑体_GBK" w:cs="宋体" w:hint="eastAsia"/>
                <w:sz w:val="21"/>
                <w:szCs w:val="21"/>
              </w:rPr>
              <w:t>（二）落后产品</w:t>
            </w:r>
          </w:p>
        </w:tc>
      </w:tr>
      <w:tr w:rsidR="00E145E8" w:rsidRPr="007723AE" w:rsidTr="008D10B1">
        <w:trPr>
          <w:jc w:val="center"/>
        </w:trPr>
        <w:tc>
          <w:tcPr>
            <w:tcW w:w="583" w:type="dxa"/>
            <w:shd w:val="clear" w:color="auto" w:fill="auto"/>
            <w:noWrap/>
            <w:vAlign w:val="center"/>
          </w:tcPr>
          <w:p w:rsidR="00E145E8" w:rsidRPr="007723AE" w:rsidRDefault="00E145E8" w:rsidP="008D10B1">
            <w:pPr>
              <w:widowControl/>
              <w:adjustRightInd w:val="0"/>
              <w:spacing w:line="240" w:lineRule="auto"/>
              <w:ind w:firstLine="0"/>
              <w:jc w:val="center"/>
              <w:rPr>
                <w:rFonts w:eastAsia="方正黑体_GBK" w:cs="方正仿宋_GBK"/>
                <w:color w:val="000000"/>
                <w:sz w:val="21"/>
                <w:szCs w:val="21"/>
              </w:rPr>
            </w:pPr>
          </w:p>
        </w:tc>
        <w:tc>
          <w:tcPr>
            <w:tcW w:w="8318" w:type="dxa"/>
            <w:gridSpan w:val="2"/>
            <w:shd w:val="clear" w:color="auto" w:fill="auto"/>
            <w:vAlign w:val="center"/>
          </w:tcPr>
          <w:p w:rsidR="00E145E8" w:rsidRPr="007723AE" w:rsidRDefault="00E145E8" w:rsidP="002B4400">
            <w:pPr>
              <w:widowControl/>
              <w:adjustRightInd w:val="0"/>
              <w:spacing w:line="240" w:lineRule="auto"/>
              <w:ind w:firstLine="0"/>
              <w:jc w:val="center"/>
              <w:rPr>
                <w:rFonts w:eastAsia="方正黑体_GBK" w:cs="宋体"/>
                <w:sz w:val="21"/>
                <w:szCs w:val="21"/>
              </w:rPr>
            </w:pPr>
            <w:r>
              <w:rPr>
                <w:rFonts w:eastAsia="方正黑体_GBK" w:cs="宋体" w:hint="eastAsia"/>
                <w:sz w:val="21"/>
                <w:szCs w:val="21"/>
              </w:rPr>
              <w:t>……</w:t>
            </w:r>
          </w:p>
        </w:tc>
      </w:tr>
      <w:tr w:rsidR="008D10B1" w:rsidRPr="007723AE" w:rsidTr="008D10B1">
        <w:trPr>
          <w:jc w:val="center"/>
        </w:trPr>
        <w:tc>
          <w:tcPr>
            <w:tcW w:w="8901" w:type="dxa"/>
            <w:gridSpan w:val="3"/>
            <w:shd w:val="clear" w:color="auto" w:fill="auto"/>
            <w:vAlign w:val="center"/>
          </w:tcPr>
          <w:p w:rsidR="008D10B1" w:rsidRPr="007723AE" w:rsidRDefault="008D10B1" w:rsidP="008D10B1">
            <w:pPr>
              <w:widowControl/>
              <w:adjustRightInd w:val="0"/>
              <w:spacing w:line="240" w:lineRule="auto"/>
              <w:ind w:firstLine="0"/>
              <w:jc w:val="center"/>
              <w:rPr>
                <w:rFonts w:eastAsia="方正黑体_GBK" w:cs="方正仿宋_GBK"/>
                <w:color w:val="000000"/>
                <w:sz w:val="21"/>
                <w:szCs w:val="21"/>
              </w:rPr>
            </w:pPr>
            <w:r w:rsidRPr="007723AE">
              <w:rPr>
                <w:rFonts w:eastAsia="方正黑体_GBK" w:cs="方正仿宋_GBK" w:hint="eastAsia"/>
                <w:color w:val="000000"/>
                <w:sz w:val="21"/>
                <w:szCs w:val="21"/>
              </w:rPr>
              <w:t>3</w:t>
            </w:r>
            <w:r w:rsidR="002B4400">
              <w:rPr>
                <w:rFonts w:eastAsia="方正黑体_GBK" w:cs="宋体" w:hint="eastAsia"/>
                <w:sz w:val="21"/>
                <w:szCs w:val="21"/>
              </w:rPr>
              <w:t>．</w:t>
            </w:r>
            <w:r w:rsidRPr="007723AE">
              <w:rPr>
                <w:rFonts w:eastAsia="方正黑体_GBK" w:cs="方正仿宋_GBK" w:hint="eastAsia"/>
                <w:color w:val="000000"/>
                <w:sz w:val="21"/>
                <w:szCs w:val="21"/>
              </w:rPr>
              <w:t>钢铁</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16</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jc w:val="left"/>
              <w:rPr>
                <w:rFonts w:eastAsia="宋体" w:cs="方正仿宋_GBK"/>
                <w:sz w:val="21"/>
                <w:szCs w:val="21"/>
              </w:rPr>
            </w:pPr>
            <w:r w:rsidRPr="007723AE">
              <w:rPr>
                <w:rFonts w:eastAsia="宋体" w:cs="方正仿宋_GBK" w:hint="eastAsia"/>
                <w:sz w:val="21"/>
                <w:szCs w:val="21"/>
              </w:rPr>
              <w:t>热轧硅钢片</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17</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jc w:val="left"/>
              <w:rPr>
                <w:rFonts w:eastAsia="宋体" w:cs="方正仿宋_GBK"/>
                <w:sz w:val="21"/>
                <w:szCs w:val="21"/>
              </w:rPr>
            </w:pPr>
            <w:r w:rsidRPr="007723AE">
              <w:rPr>
                <w:rFonts w:eastAsia="宋体" w:cs="方正仿宋_GBK" w:hint="eastAsia"/>
                <w:sz w:val="21"/>
                <w:szCs w:val="21"/>
              </w:rPr>
              <w:t>普通松弛级别的钢丝、钢绞线</w:t>
            </w:r>
          </w:p>
        </w:tc>
      </w:tr>
      <w:tr w:rsidR="008D10B1" w:rsidRPr="007723AE" w:rsidTr="008D10B1">
        <w:trPr>
          <w:jc w:val="center"/>
        </w:trPr>
        <w:tc>
          <w:tcPr>
            <w:tcW w:w="583" w:type="dxa"/>
            <w:shd w:val="clear" w:color="auto" w:fill="auto"/>
            <w:noWrap/>
            <w:vAlign w:val="center"/>
          </w:tcPr>
          <w:p w:rsidR="008D10B1" w:rsidRPr="007723AE" w:rsidRDefault="008D10B1" w:rsidP="008D10B1">
            <w:pPr>
              <w:widowControl/>
              <w:adjustRightInd w:val="0"/>
              <w:spacing w:line="240" w:lineRule="auto"/>
              <w:ind w:firstLine="0"/>
              <w:jc w:val="center"/>
              <w:rPr>
                <w:rFonts w:eastAsia="宋体" w:cs="方正仿宋_GBK"/>
                <w:color w:val="000000"/>
                <w:sz w:val="21"/>
                <w:szCs w:val="21"/>
              </w:rPr>
            </w:pPr>
            <w:r w:rsidRPr="007723AE">
              <w:rPr>
                <w:rFonts w:eastAsia="宋体" w:cs="方正仿宋_GBK" w:hint="eastAsia"/>
                <w:color w:val="000000"/>
                <w:sz w:val="21"/>
                <w:szCs w:val="21"/>
              </w:rPr>
              <w:t>18</w:t>
            </w:r>
          </w:p>
        </w:tc>
        <w:tc>
          <w:tcPr>
            <w:tcW w:w="8318" w:type="dxa"/>
            <w:gridSpan w:val="2"/>
            <w:shd w:val="clear" w:color="auto" w:fill="auto"/>
            <w:vAlign w:val="center"/>
          </w:tcPr>
          <w:p w:rsidR="008D10B1" w:rsidRPr="007723AE" w:rsidRDefault="008D10B1" w:rsidP="008D10B1">
            <w:pPr>
              <w:widowControl/>
              <w:adjustRightInd w:val="0"/>
              <w:spacing w:line="240" w:lineRule="auto"/>
              <w:ind w:firstLine="0"/>
              <w:jc w:val="left"/>
              <w:rPr>
                <w:rFonts w:eastAsia="宋体" w:cs="方正仿宋_GBK"/>
                <w:sz w:val="21"/>
                <w:szCs w:val="21"/>
              </w:rPr>
            </w:pPr>
            <w:r w:rsidRPr="007723AE">
              <w:rPr>
                <w:rFonts w:eastAsia="宋体" w:cs="方正仿宋_GBK" w:hint="eastAsia"/>
                <w:sz w:val="21"/>
                <w:szCs w:val="21"/>
              </w:rPr>
              <w:t>热轧钢筋：牌号</w:t>
            </w:r>
            <w:r w:rsidRPr="007723AE">
              <w:rPr>
                <w:rFonts w:eastAsia="宋体" w:cs="方正仿宋_GBK" w:hint="eastAsia"/>
                <w:sz w:val="21"/>
                <w:szCs w:val="21"/>
              </w:rPr>
              <w:t>HRB335</w:t>
            </w:r>
            <w:r w:rsidRPr="007723AE">
              <w:rPr>
                <w:rFonts w:eastAsia="宋体" w:cs="方正仿宋_GBK" w:hint="eastAsia"/>
                <w:sz w:val="21"/>
                <w:szCs w:val="21"/>
              </w:rPr>
              <w:t>、</w:t>
            </w:r>
            <w:r w:rsidRPr="007723AE">
              <w:rPr>
                <w:rFonts w:eastAsia="宋体" w:cs="方正仿宋_GBK" w:hint="eastAsia"/>
                <w:sz w:val="21"/>
                <w:szCs w:val="21"/>
              </w:rPr>
              <w:t>HPB235</w:t>
            </w:r>
          </w:p>
        </w:tc>
      </w:tr>
    </w:tbl>
    <w:p w:rsidR="002561D5" w:rsidRDefault="002561D5"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E145E8" w:rsidRDefault="00E145E8" w:rsidP="00360B1D">
      <w:pPr>
        <w:spacing w:line="520" w:lineRule="atLeast"/>
      </w:pPr>
    </w:p>
    <w:p w:rsidR="002561D5" w:rsidRPr="00360B1D" w:rsidRDefault="00360B1D" w:rsidP="00360B1D">
      <w:pPr>
        <w:pStyle w:val="10"/>
      </w:pPr>
      <w:r w:rsidRPr="00360B1D">
        <w:rPr>
          <w:rFonts w:hint="eastAsia"/>
        </w:rPr>
        <w:lastRenderedPageBreak/>
        <w:t>能耗限额</w:t>
      </w:r>
    </w:p>
    <w:p w:rsidR="002561D5" w:rsidRDefault="002561D5" w:rsidP="00360B1D">
      <w:pPr>
        <w:spacing w:line="520" w:lineRule="atLeast"/>
      </w:pPr>
    </w:p>
    <w:p w:rsidR="00360B1D" w:rsidRDefault="00360B1D" w:rsidP="00360B1D">
      <w:pPr>
        <w:pStyle w:val="3"/>
      </w:pPr>
      <w:r>
        <w:rPr>
          <w:rFonts w:hint="eastAsia"/>
        </w:rPr>
        <w:t>一、产品单耗限额值</w:t>
      </w:r>
    </w:p>
    <w:p w:rsidR="00360B1D" w:rsidRDefault="002B4400" w:rsidP="002B4400">
      <w:pPr>
        <w:pStyle w:val="2"/>
        <w:ind w:firstLineChars="200" w:firstLine="630"/>
        <w:jc w:val="both"/>
      </w:pPr>
      <w:r>
        <w:rPr>
          <w:rFonts w:hint="eastAsia"/>
        </w:rPr>
        <w:t>（一）</w:t>
      </w:r>
      <w:r w:rsidR="00360B1D">
        <w:rPr>
          <w:rFonts w:hint="eastAsia"/>
        </w:rPr>
        <w:t>说明</w:t>
      </w:r>
      <w:r>
        <w:rPr>
          <w:rFonts w:hint="eastAsia"/>
        </w:rPr>
        <w:t>。</w:t>
      </w:r>
    </w:p>
    <w:p w:rsidR="00360B1D" w:rsidRDefault="00360B1D" w:rsidP="00360B1D">
      <w:r>
        <w:rPr>
          <w:rFonts w:hint="eastAsia"/>
        </w:rPr>
        <w:t>本章主要涵盖水泥、粗钢、铜管、焦炭、合成氨等</w:t>
      </w:r>
      <w:r>
        <w:rPr>
          <w:rFonts w:hint="eastAsia"/>
        </w:rPr>
        <w:t>110</w:t>
      </w:r>
      <w:r>
        <w:rPr>
          <w:rFonts w:hint="eastAsia"/>
        </w:rPr>
        <w:t>类重点用能产品的</w:t>
      </w:r>
      <w:r>
        <w:rPr>
          <w:rFonts w:hint="eastAsia"/>
        </w:rPr>
        <w:t>689</w:t>
      </w:r>
      <w:r>
        <w:rPr>
          <w:rFonts w:hint="eastAsia"/>
        </w:rPr>
        <w:t>项产品单耗限额值。</w:t>
      </w:r>
    </w:p>
    <w:p w:rsidR="00360B1D" w:rsidRDefault="00360B1D" w:rsidP="00360B1D">
      <w:r>
        <w:rPr>
          <w:rFonts w:hint="eastAsia"/>
        </w:rPr>
        <w:t>1</w:t>
      </w:r>
      <w:r>
        <w:rPr>
          <w:rFonts w:hint="eastAsia"/>
        </w:rPr>
        <w:t>．数据来源。能耗限额值取自国家及江苏省发布的单位产品能耗限额标准的限定值。当国家标准和地方标准限额值存在差异时，取两者中较严指标。表中加阴影的项目或数值为江苏地方标准的内容。</w:t>
      </w:r>
    </w:p>
    <w:p w:rsidR="00360B1D" w:rsidRDefault="00360B1D" w:rsidP="00360B1D">
      <w:r>
        <w:rPr>
          <w:rFonts w:hint="eastAsia"/>
        </w:rPr>
        <w:t>2</w:t>
      </w:r>
      <w:r>
        <w:rPr>
          <w:rFonts w:hint="eastAsia"/>
        </w:rPr>
        <w:t>．指标说明。企业单位产品能耗（电耗）超过限额值一倍（含）以内的，比照限制类装置电价加价标准执行；单位产品能耗（电耗）超过限额值一倍以上的，比照淘汰类装置电价加价标准执行。</w:t>
      </w:r>
    </w:p>
    <w:p w:rsidR="00360B1D" w:rsidRDefault="00360B1D" w:rsidP="00360B1D">
      <w:r>
        <w:rPr>
          <w:rFonts w:hint="eastAsia"/>
        </w:rPr>
        <w:t>3</w:t>
      </w:r>
      <w:r>
        <w:rPr>
          <w:rFonts w:hint="eastAsia"/>
        </w:rPr>
        <w:t>．折标系数说明。本章所采用的折标系数详见各自对应的标准。</w:t>
      </w:r>
    </w:p>
    <w:p w:rsidR="00360B1D" w:rsidRDefault="002B4400" w:rsidP="00360B1D">
      <w:pPr>
        <w:pStyle w:val="2"/>
        <w:ind w:firstLineChars="200" w:firstLine="630"/>
        <w:jc w:val="both"/>
      </w:pPr>
      <w:r>
        <w:rPr>
          <w:rFonts w:hint="eastAsia"/>
        </w:rPr>
        <w:t>（二）</w:t>
      </w:r>
      <w:r w:rsidR="00360B1D" w:rsidRPr="00360B1D">
        <w:rPr>
          <w:rFonts w:hint="eastAsia"/>
        </w:rPr>
        <w:t>产品单耗限额值</w:t>
      </w:r>
      <w:r>
        <w:rPr>
          <w:rFonts w:hint="eastAsia"/>
        </w:rPr>
        <w:t>。</w:t>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559"/>
        <w:gridCol w:w="1157"/>
        <w:gridCol w:w="1391"/>
        <w:gridCol w:w="3303"/>
        <w:gridCol w:w="1386"/>
        <w:gridCol w:w="1158"/>
      </w:tblGrid>
      <w:tr w:rsidR="00360B1D" w:rsidRPr="00360B1D" w:rsidTr="00957739">
        <w:trPr>
          <w:tblHeader/>
          <w:jc w:val="center"/>
        </w:trPr>
        <w:tc>
          <w:tcPr>
            <w:tcW w:w="559"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序号</w:t>
            </w:r>
          </w:p>
        </w:tc>
        <w:tc>
          <w:tcPr>
            <w:tcW w:w="1157"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产品名称</w:t>
            </w:r>
          </w:p>
        </w:tc>
        <w:tc>
          <w:tcPr>
            <w:tcW w:w="1391"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指标名称</w:t>
            </w:r>
          </w:p>
        </w:tc>
        <w:tc>
          <w:tcPr>
            <w:tcW w:w="3303"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指标分类</w:t>
            </w:r>
          </w:p>
        </w:tc>
        <w:tc>
          <w:tcPr>
            <w:tcW w:w="1386"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指标单位</w:t>
            </w:r>
          </w:p>
        </w:tc>
        <w:tc>
          <w:tcPr>
            <w:tcW w:w="1158" w:type="dxa"/>
            <w:shd w:val="clear" w:color="auto" w:fill="auto"/>
            <w:vAlign w:val="center"/>
          </w:tcPr>
          <w:p w:rsidR="00360B1D" w:rsidRPr="00360B1D" w:rsidRDefault="00360B1D" w:rsidP="00957739">
            <w:pPr>
              <w:widowControl/>
              <w:autoSpaceDE/>
              <w:autoSpaceDN/>
              <w:snapToGrid/>
              <w:spacing w:line="276" w:lineRule="auto"/>
              <w:ind w:firstLine="0"/>
              <w:jc w:val="center"/>
              <w:textAlignment w:val="center"/>
              <w:rPr>
                <w:rFonts w:eastAsia="方正黑体_GBK" w:cs="宋体"/>
                <w:snapToGrid/>
                <w:color w:val="000000"/>
                <w:kern w:val="2"/>
                <w:sz w:val="21"/>
                <w:szCs w:val="21"/>
              </w:rPr>
            </w:pPr>
            <w:r w:rsidRPr="00360B1D">
              <w:rPr>
                <w:rFonts w:eastAsia="方正黑体_GBK" w:cs="宋体" w:hint="eastAsia"/>
                <w:snapToGrid/>
                <w:color w:val="000000"/>
                <w:sz w:val="21"/>
                <w:szCs w:val="21"/>
              </w:rPr>
              <w:t>限额值</w:t>
            </w:r>
          </w:p>
        </w:tc>
      </w:tr>
      <w:tr w:rsidR="00360B1D" w:rsidRPr="00360B1D" w:rsidTr="00957739">
        <w:trPr>
          <w:jc w:val="center"/>
        </w:trPr>
        <w:tc>
          <w:tcPr>
            <w:tcW w:w="559" w:type="dxa"/>
            <w:shd w:val="clear" w:color="auto" w:fill="auto"/>
            <w:vAlign w:val="center"/>
          </w:tcPr>
          <w:p w:rsidR="00360B1D" w:rsidRPr="00360B1D" w:rsidRDefault="00360B1D" w:rsidP="00360B1D">
            <w:pPr>
              <w:widowControl/>
              <w:autoSpaceDE/>
              <w:autoSpaceDN/>
              <w:snapToGrid/>
              <w:spacing w:line="240" w:lineRule="auto"/>
              <w:ind w:firstLine="0"/>
              <w:jc w:val="center"/>
              <w:textAlignment w:val="center"/>
              <w:rPr>
                <w:rFonts w:eastAsia="宋体" w:cs="宋体"/>
                <w:snapToGrid/>
                <w:color w:val="000000"/>
                <w:kern w:val="2"/>
                <w:sz w:val="21"/>
                <w:szCs w:val="21"/>
              </w:rPr>
            </w:pPr>
            <w:r w:rsidRPr="00360B1D">
              <w:rPr>
                <w:rFonts w:eastAsia="宋体" w:cs="宋体" w:hint="eastAsia"/>
                <w:snapToGrid/>
                <w:color w:val="000000"/>
                <w:sz w:val="21"/>
                <w:szCs w:val="21"/>
              </w:rPr>
              <w:t>47</w:t>
            </w:r>
          </w:p>
        </w:tc>
        <w:tc>
          <w:tcPr>
            <w:tcW w:w="1157" w:type="dxa"/>
            <w:vMerge w:val="restart"/>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color w:val="000000"/>
                <w:sz w:val="21"/>
                <w:szCs w:val="21"/>
              </w:rPr>
            </w:pPr>
            <w:r w:rsidRPr="00360B1D">
              <w:rPr>
                <w:rFonts w:eastAsia="宋体" w:hAnsi="宋体" w:cs="宋体" w:hint="eastAsia"/>
                <w:snapToGrid/>
                <w:color w:val="000000"/>
                <w:sz w:val="21"/>
                <w:szCs w:val="21"/>
              </w:rPr>
              <w:t>粗钢</w:t>
            </w:r>
          </w:p>
          <w:p w:rsidR="00360B1D" w:rsidRPr="00360B1D" w:rsidRDefault="00360B1D" w:rsidP="00957739">
            <w:pPr>
              <w:widowControl/>
              <w:autoSpaceDE/>
              <w:autoSpaceDN/>
              <w:snapToGrid/>
              <w:spacing w:line="252" w:lineRule="auto"/>
              <w:ind w:firstLine="0"/>
              <w:jc w:val="center"/>
              <w:textAlignment w:val="center"/>
              <w:rPr>
                <w:rFonts w:eastAsia="宋体" w:cs="宋体"/>
                <w:snapToGrid/>
                <w:color w:val="000000"/>
                <w:kern w:val="2"/>
                <w:sz w:val="21"/>
                <w:szCs w:val="21"/>
              </w:rPr>
            </w:pPr>
          </w:p>
        </w:tc>
        <w:tc>
          <w:tcPr>
            <w:tcW w:w="1391"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color w:val="000000"/>
                <w:kern w:val="2"/>
                <w:sz w:val="21"/>
                <w:szCs w:val="21"/>
              </w:rPr>
            </w:pPr>
            <w:r w:rsidRPr="00360B1D">
              <w:rPr>
                <w:rFonts w:eastAsia="宋体" w:hAnsi="宋体" w:cs="宋体" w:hint="eastAsia"/>
                <w:snapToGrid/>
                <w:color w:val="000000"/>
                <w:sz w:val="21"/>
                <w:szCs w:val="21"/>
              </w:rPr>
              <w:t>烧结工序</w:t>
            </w:r>
          </w:p>
        </w:tc>
        <w:tc>
          <w:tcPr>
            <w:tcW w:w="3303" w:type="dxa"/>
            <w:shd w:val="clear" w:color="auto" w:fill="auto"/>
            <w:vAlign w:val="center"/>
          </w:tcPr>
          <w:p w:rsidR="00360B1D" w:rsidRPr="00360B1D" w:rsidRDefault="00360B1D" w:rsidP="00957739">
            <w:pPr>
              <w:widowControl/>
              <w:autoSpaceDE/>
              <w:autoSpaceDN/>
              <w:snapToGrid/>
              <w:spacing w:line="252" w:lineRule="auto"/>
              <w:ind w:firstLine="0"/>
              <w:jc w:val="left"/>
              <w:textAlignment w:val="center"/>
              <w:rPr>
                <w:rFonts w:eastAsia="宋体" w:cs="宋体"/>
                <w:snapToGrid/>
                <w:color w:val="000000"/>
                <w:kern w:val="2"/>
                <w:sz w:val="21"/>
                <w:szCs w:val="21"/>
              </w:rPr>
            </w:pPr>
            <w:r w:rsidRPr="00360B1D">
              <w:rPr>
                <w:rFonts w:eastAsia="宋体" w:hAnsi="宋体" w:cs="宋体" w:hint="eastAsia"/>
                <w:snapToGrid/>
                <w:color w:val="000000"/>
                <w:sz w:val="21"/>
                <w:szCs w:val="21"/>
              </w:rPr>
              <w:t>烧结</w:t>
            </w:r>
          </w:p>
        </w:tc>
        <w:tc>
          <w:tcPr>
            <w:tcW w:w="1386" w:type="dxa"/>
            <w:vMerge w:val="restart"/>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color w:val="000000"/>
                <w:kern w:val="2"/>
                <w:sz w:val="21"/>
                <w:szCs w:val="21"/>
              </w:rPr>
            </w:pPr>
            <w:r w:rsidRPr="00360B1D">
              <w:rPr>
                <w:rFonts w:eastAsia="宋体" w:hAnsi="宋体" w:cs="宋体" w:hint="eastAsia"/>
                <w:snapToGrid/>
                <w:color w:val="000000"/>
                <w:sz w:val="21"/>
                <w:szCs w:val="21"/>
              </w:rPr>
              <w:t>千克标煤</w:t>
            </w:r>
            <w:r w:rsidRPr="00360B1D">
              <w:rPr>
                <w:rFonts w:eastAsia="宋体" w:cs="宋体" w:hint="eastAsia"/>
                <w:snapToGrid/>
                <w:color w:val="000000"/>
                <w:sz w:val="21"/>
                <w:szCs w:val="21"/>
              </w:rPr>
              <w:t>/</w:t>
            </w:r>
            <w:r w:rsidRPr="00360B1D">
              <w:rPr>
                <w:rFonts w:eastAsia="宋体" w:hAnsi="宋体" w:cs="宋体" w:hint="eastAsia"/>
                <w:snapToGrid/>
                <w:color w:val="000000"/>
                <w:sz w:val="21"/>
                <w:szCs w:val="21"/>
              </w:rPr>
              <w:t>吨</w:t>
            </w:r>
          </w:p>
        </w:tc>
        <w:tc>
          <w:tcPr>
            <w:tcW w:w="1158"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color w:val="000000"/>
                <w:kern w:val="2"/>
                <w:sz w:val="21"/>
                <w:szCs w:val="21"/>
              </w:rPr>
            </w:pPr>
            <w:r w:rsidRPr="00360B1D">
              <w:rPr>
                <w:rFonts w:eastAsia="宋体" w:cs="宋体" w:hint="eastAsia"/>
                <w:snapToGrid/>
                <w:color w:val="000000"/>
                <w:sz w:val="21"/>
                <w:szCs w:val="21"/>
              </w:rPr>
              <w:t>55</w:t>
            </w:r>
          </w:p>
        </w:tc>
      </w:tr>
      <w:tr w:rsidR="00360B1D" w:rsidRPr="00360B1D" w:rsidTr="00957739">
        <w:trPr>
          <w:jc w:val="center"/>
        </w:trPr>
        <w:tc>
          <w:tcPr>
            <w:tcW w:w="559" w:type="dxa"/>
            <w:shd w:val="clear" w:color="auto" w:fill="auto"/>
            <w:vAlign w:val="center"/>
          </w:tcPr>
          <w:p w:rsidR="00360B1D" w:rsidRPr="00360B1D" w:rsidRDefault="00360B1D" w:rsidP="00360B1D">
            <w:pPr>
              <w:widowControl/>
              <w:autoSpaceDE/>
              <w:autoSpaceDN/>
              <w:snapToGrid/>
              <w:spacing w:line="240" w:lineRule="auto"/>
              <w:ind w:firstLine="0"/>
              <w:jc w:val="center"/>
              <w:textAlignment w:val="center"/>
              <w:rPr>
                <w:rFonts w:eastAsia="宋体" w:cs="宋体"/>
                <w:snapToGrid/>
                <w:color w:val="000000"/>
                <w:kern w:val="2"/>
                <w:sz w:val="21"/>
                <w:szCs w:val="21"/>
              </w:rPr>
            </w:pPr>
            <w:r w:rsidRPr="00360B1D">
              <w:rPr>
                <w:rFonts w:eastAsia="宋体" w:cs="宋体" w:hint="eastAsia"/>
                <w:snapToGrid/>
                <w:color w:val="000000"/>
                <w:sz w:val="21"/>
                <w:szCs w:val="21"/>
              </w:rPr>
              <w:t>48</w:t>
            </w:r>
          </w:p>
        </w:tc>
        <w:tc>
          <w:tcPr>
            <w:tcW w:w="1157"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color w:val="000000"/>
                <w:kern w:val="2"/>
                <w:sz w:val="21"/>
                <w:szCs w:val="21"/>
              </w:rPr>
            </w:pPr>
          </w:p>
        </w:tc>
        <w:tc>
          <w:tcPr>
            <w:tcW w:w="1391"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hAnsi="宋体" w:cs="宋体" w:hint="eastAsia"/>
                <w:snapToGrid/>
                <w:sz w:val="21"/>
                <w:szCs w:val="21"/>
              </w:rPr>
              <w:t>球团工序</w:t>
            </w:r>
          </w:p>
        </w:tc>
        <w:tc>
          <w:tcPr>
            <w:tcW w:w="3303" w:type="dxa"/>
            <w:shd w:val="clear" w:color="auto" w:fill="auto"/>
            <w:vAlign w:val="center"/>
          </w:tcPr>
          <w:p w:rsidR="00360B1D" w:rsidRPr="00360B1D" w:rsidRDefault="00360B1D" w:rsidP="00957739">
            <w:pPr>
              <w:widowControl/>
              <w:autoSpaceDE/>
              <w:autoSpaceDN/>
              <w:snapToGrid/>
              <w:spacing w:line="252" w:lineRule="auto"/>
              <w:ind w:firstLine="0"/>
              <w:jc w:val="left"/>
              <w:textAlignment w:val="center"/>
              <w:rPr>
                <w:rFonts w:eastAsia="宋体" w:cs="宋体"/>
                <w:snapToGrid/>
                <w:kern w:val="2"/>
                <w:sz w:val="21"/>
                <w:szCs w:val="21"/>
              </w:rPr>
            </w:pPr>
            <w:r w:rsidRPr="00360B1D">
              <w:rPr>
                <w:rFonts w:eastAsia="宋体" w:hAnsi="宋体" w:cs="宋体" w:hint="eastAsia"/>
                <w:snapToGrid/>
                <w:kern w:val="2"/>
                <w:sz w:val="21"/>
                <w:szCs w:val="21"/>
              </w:rPr>
              <w:t>球团</w:t>
            </w:r>
          </w:p>
        </w:tc>
        <w:tc>
          <w:tcPr>
            <w:tcW w:w="1386"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kern w:val="2"/>
                <w:sz w:val="21"/>
                <w:szCs w:val="21"/>
              </w:rPr>
            </w:pPr>
          </w:p>
        </w:tc>
        <w:tc>
          <w:tcPr>
            <w:tcW w:w="1158"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cs="宋体" w:hint="eastAsia"/>
                <w:snapToGrid/>
                <w:kern w:val="2"/>
                <w:sz w:val="21"/>
                <w:szCs w:val="21"/>
              </w:rPr>
              <w:t>36</w:t>
            </w:r>
          </w:p>
        </w:tc>
      </w:tr>
      <w:tr w:rsidR="00360B1D" w:rsidRPr="00360B1D" w:rsidTr="00957739">
        <w:trPr>
          <w:jc w:val="center"/>
        </w:trPr>
        <w:tc>
          <w:tcPr>
            <w:tcW w:w="559" w:type="dxa"/>
            <w:shd w:val="clear" w:color="auto" w:fill="auto"/>
            <w:vAlign w:val="center"/>
          </w:tcPr>
          <w:p w:rsidR="00360B1D" w:rsidRPr="00360B1D" w:rsidRDefault="00360B1D" w:rsidP="00360B1D">
            <w:pPr>
              <w:widowControl/>
              <w:autoSpaceDE/>
              <w:autoSpaceDN/>
              <w:snapToGrid/>
              <w:spacing w:line="240" w:lineRule="auto"/>
              <w:ind w:firstLine="0"/>
              <w:jc w:val="center"/>
              <w:textAlignment w:val="center"/>
              <w:rPr>
                <w:rFonts w:eastAsia="宋体" w:cs="宋体"/>
                <w:snapToGrid/>
                <w:color w:val="000000"/>
                <w:kern w:val="2"/>
                <w:sz w:val="21"/>
                <w:szCs w:val="21"/>
              </w:rPr>
            </w:pPr>
            <w:r w:rsidRPr="00360B1D">
              <w:rPr>
                <w:rFonts w:eastAsia="宋体" w:cs="宋体" w:hint="eastAsia"/>
                <w:snapToGrid/>
                <w:color w:val="000000"/>
                <w:sz w:val="21"/>
                <w:szCs w:val="21"/>
              </w:rPr>
              <w:t>49</w:t>
            </w:r>
          </w:p>
        </w:tc>
        <w:tc>
          <w:tcPr>
            <w:tcW w:w="1157"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color w:val="000000"/>
                <w:kern w:val="2"/>
                <w:sz w:val="21"/>
                <w:szCs w:val="21"/>
              </w:rPr>
            </w:pPr>
          </w:p>
        </w:tc>
        <w:tc>
          <w:tcPr>
            <w:tcW w:w="1391"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hAnsi="宋体" w:cs="宋体" w:hint="eastAsia"/>
                <w:snapToGrid/>
                <w:sz w:val="21"/>
                <w:szCs w:val="21"/>
              </w:rPr>
              <w:t>高炉工序</w:t>
            </w:r>
          </w:p>
        </w:tc>
        <w:tc>
          <w:tcPr>
            <w:tcW w:w="3303" w:type="dxa"/>
            <w:shd w:val="clear" w:color="auto" w:fill="auto"/>
            <w:vAlign w:val="center"/>
          </w:tcPr>
          <w:p w:rsidR="00360B1D" w:rsidRPr="00360B1D" w:rsidRDefault="00360B1D" w:rsidP="00957739">
            <w:pPr>
              <w:widowControl/>
              <w:autoSpaceDE/>
              <w:autoSpaceDN/>
              <w:snapToGrid/>
              <w:spacing w:line="252" w:lineRule="auto"/>
              <w:ind w:firstLine="0"/>
              <w:jc w:val="left"/>
              <w:textAlignment w:val="center"/>
              <w:rPr>
                <w:rFonts w:eastAsia="宋体" w:cs="宋体"/>
                <w:snapToGrid/>
                <w:kern w:val="2"/>
                <w:sz w:val="21"/>
                <w:szCs w:val="21"/>
              </w:rPr>
            </w:pPr>
            <w:r w:rsidRPr="00360B1D">
              <w:rPr>
                <w:rFonts w:eastAsia="宋体" w:hAnsi="宋体" w:cs="宋体" w:hint="eastAsia"/>
                <w:snapToGrid/>
                <w:sz w:val="21"/>
                <w:szCs w:val="21"/>
              </w:rPr>
              <w:t>高炉</w:t>
            </w:r>
          </w:p>
        </w:tc>
        <w:tc>
          <w:tcPr>
            <w:tcW w:w="1386"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kern w:val="2"/>
                <w:sz w:val="21"/>
                <w:szCs w:val="21"/>
              </w:rPr>
            </w:pPr>
          </w:p>
        </w:tc>
        <w:tc>
          <w:tcPr>
            <w:tcW w:w="1158"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cs="宋体" w:hint="eastAsia"/>
                <w:snapToGrid/>
                <w:sz w:val="21"/>
                <w:szCs w:val="21"/>
              </w:rPr>
              <w:t>435</w:t>
            </w:r>
          </w:p>
        </w:tc>
      </w:tr>
      <w:tr w:rsidR="00360B1D" w:rsidRPr="00360B1D" w:rsidTr="00957739">
        <w:trPr>
          <w:jc w:val="center"/>
        </w:trPr>
        <w:tc>
          <w:tcPr>
            <w:tcW w:w="559" w:type="dxa"/>
            <w:shd w:val="clear" w:color="auto" w:fill="auto"/>
            <w:vAlign w:val="center"/>
          </w:tcPr>
          <w:p w:rsidR="00360B1D" w:rsidRPr="00360B1D" w:rsidRDefault="00360B1D" w:rsidP="00360B1D">
            <w:pPr>
              <w:widowControl/>
              <w:autoSpaceDE/>
              <w:autoSpaceDN/>
              <w:snapToGrid/>
              <w:spacing w:line="240" w:lineRule="auto"/>
              <w:ind w:firstLine="0"/>
              <w:jc w:val="center"/>
              <w:textAlignment w:val="center"/>
              <w:rPr>
                <w:rFonts w:eastAsia="宋体" w:cs="宋体"/>
                <w:snapToGrid/>
                <w:color w:val="000000"/>
                <w:kern w:val="2"/>
                <w:sz w:val="21"/>
                <w:szCs w:val="21"/>
              </w:rPr>
            </w:pPr>
            <w:r w:rsidRPr="00360B1D">
              <w:rPr>
                <w:rFonts w:eastAsia="宋体" w:cs="宋体" w:hint="eastAsia"/>
                <w:snapToGrid/>
                <w:color w:val="000000"/>
                <w:sz w:val="21"/>
                <w:szCs w:val="21"/>
              </w:rPr>
              <w:t>50</w:t>
            </w:r>
          </w:p>
        </w:tc>
        <w:tc>
          <w:tcPr>
            <w:tcW w:w="1157"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color w:val="000000"/>
                <w:kern w:val="2"/>
                <w:sz w:val="21"/>
                <w:szCs w:val="21"/>
              </w:rPr>
            </w:pPr>
          </w:p>
        </w:tc>
        <w:tc>
          <w:tcPr>
            <w:tcW w:w="1391"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hAnsi="宋体" w:cs="宋体" w:hint="eastAsia"/>
                <w:snapToGrid/>
                <w:sz w:val="21"/>
                <w:szCs w:val="21"/>
              </w:rPr>
              <w:t>转炉工序</w:t>
            </w:r>
          </w:p>
        </w:tc>
        <w:tc>
          <w:tcPr>
            <w:tcW w:w="3303" w:type="dxa"/>
            <w:shd w:val="clear" w:color="auto" w:fill="auto"/>
            <w:vAlign w:val="center"/>
          </w:tcPr>
          <w:p w:rsidR="00360B1D" w:rsidRPr="00360B1D" w:rsidRDefault="00360B1D" w:rsidP="00957739">
            <w:pPr>
              <w:widowControl/>
              <w:autoSpaceDE/>
              <w:autoSpaceDN/>
              <w:snapToGrid/>
              <w:spacing w:line="252" w:lineRule="auto"/>
              <w:ind w:firstLine="0"/>
              <w:jc w:val="left"/>
              <w:textAlignment w:val="center"/>
              <w:rPr>
                <w:rFonts w:eastAsia="宋体" w:cs="宋体"/>
                <w:snapToGrid/>
                <w:kern w:val="2"/>
                <w:sz w:val="21"/>
                <w:szCs w:val="21"/>
              </w:rPr>
            </w:pPr>
            <w:r w:rsidRPr="00360B1D">
              <w:rPr>
                <w:rFonts w:eastAsia="宋体" w:hAnsi="宋体" w:cs="宋体" w:hint="eastAsia"/>
                <w:snapToGrid/>
                <w:sz w:val="21"/>
                <w:szCs w:val="21"/>
              </w:rPr>
              <w:t>转炉</w:t>
            </w:r>
          </w:p>
        </w:tc>
        <w:tc>
          <w:tcPr>
            <w:tcW w:w="1386" w:type="dxa"/>
            <w:vMerge/>
            <w:shd w:val="clear" w:color="auto" w:fill="auto"/>
            <w:vAlign w:val="center"/>
          </w:tcPr>
          <w:p w:rsidR="00360B1D" w:rsidRPr="00360B1D" w:rsidRDefault="00360B1D" w:rsidP="00957739">
            <w:pPr>
              <w:autoSpaceDE/>
              <w:autoSpaceDN/>
              <w:snapToGrid/>
              <w:spacing w:line="252" w:lineRule="auto"/>
              <w:ind w:firstLine="0"/>
              <w:jc w:val="center"/>
              <w:rPr>
                <w:rFonts w:eastAsia="宋体" w:cs="宋体"/>
                <w:snapToGrid/>
                <w:kern w:val="2"/>
                <w:sz w:val="21"/>
                <w:szCs w:val="21"/>
              </w:rPr>
            </w:pPr>
          </w:p>
        </w:tc>
        <w:tc>
          <w:tcPr>
            <w:tcW w:w="1158" w:type="dxa"/>
            <w:shd w:val="clear" w:color="auto" w:fill="auto"/>
            <w:vAlign w:val="center"/>
          </w:tcPr>
          <w:p w:rsidR="00360B1D" w:rsidRPr="00360B1D" w:rsidRDefault="00360B1D" w:rsidP="00957739">
            <w:pPr>
              <w:widowControl/>
              <w:autoSpaceDE/>
              <w:autoSpaceDN/>
              <w:snapToGrid/>
              <w:spacing w:line="252" w:lineRule="auto"/>
              <w:ind w:firstLine="0"/>
              <w:jc w:val="center"/>
              <w:textAlignment w:val="center"/>
              <w:rPr>
                <w:rFonts w:eastAsia="宋体" w:cs="宋体"/>
                <w:snapToGrid/>
                <w:kern w:val="2"/>
                <w:sz w:val="21"/>
                <w:szCs w:val="21"/>
              </w:rPr>
            </w:pPr>
            <w:r w:rsidRPr="00360B1D">
              <w:rPr>
                <w:rFonts w:eastAsia="宋体" w:cs="宋体" w:hint="eastAsia"/>
                <w:snapToGrid/>
                <w:sz w:val="21"/>
                <w:szCs w:val="21"/>
              </w:rPr>
              <w:t>-10</w:t>
            </w:r>
          </w:p>
        </w:tc>
      </w:tr>
    </w:tbl>
    <w:p w:rsidR="009A6F76" w:rsidRPr="009A6F76" w:rsidRDefault="009A6F76"/>
    <w:sectPr w:rsidR="009A6F76" w:rsidRPr="009A6F76" w:rsidSect="00F51D1F">
      <w:pgSz w:w="11906" w:h="16838" w:code="9"/>
      <w:pgMar w:top="1814" w:right="1531" w:bottom="1985" w:left="1531" w:header="720" w:footer="1474" w:gutter="0"/>
      <w:paperSrc w:first="15" w:other="15"/>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F8E" w:rsidRDefault="008C6F8E">
      <w:r>
        <w:separator/>
      </w:r>
    </w:p>
    <w:p w:rsidR="008C6F8E" w:rsidRDefault="008C6F8E"/>
  </w:endnote>
  <w:endnote w:type="continuationSeparator" w:id="1">
    <w:p w:rsidR="008C6F8E" w:rsidRDefault="008C6F8E">
      <w:r>
        <w:continuationSeparator/>
      </w:r>
    </w:p>
    <w:p w:rsidR="008C6F8E" w:rsidRDefault="008C6F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汉鼎简大宋">
    <w:altName w:val="宋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CE" w:rsidRDefault="00755DCE" w:rsidP="00787BD2">
    <w:pPr>
      <w:pStyle w:val="a4"/>
      <w:ind w:leftChars="100" w:left="320" w:rightChars="100" w:right="320"/>
      <w:jc w:val="both"/>
    </w:pPr>
    <w:r>
      <w:rPr>
        <w:rFonts w:hint="eastAsia"/>
      </w:rPr>
      <w:t>—</w:t>
    </w:r>
    <w:r>
      <w:rPr>
        <w:rFonts w:hint="eastAsia"/>
      </w:rPr>
      <w:t xml:space="preserve"> </w:t>
    </w:r>
    <w:r w:rsidR="00A4478E">
      <w:rPr>
        <w:rStyle w:val="a5"/>
      </w:rPr>
      <w:fldChar w:fldCharType="begin"/>
    </w:r>
    <w:r>
      <w:rPr>
        <w:rStyle w:val="a5"/>
      </w:rPr>
      <w:instrText xml:space="preserve"> PAGE </w:instrText>
    </w:r>
    <w:r w:rsidR="00A4478E">
      <w:rPr>
        <w:rStyle w:val="a5"/>
      </w:rPr>
      <w:fldChar w:fldCharType="separate"/>
    </w:r>
    <w:r w:rsidR="00734FD4">
      <w:rPr>
        <w:rStyle w:val="a5"/>
        <w:noProof/>
      </w:rPr>
      <w:t>10</w:t>
    </w:r>
    <w:r w:rsidR="00A4478E">
      <w:rPr>
        <w:rStyle w:val="a5"/>
      </w:rPr>
      <w:fldChar w:fldCharType="end"/>
    </w:r>
    <w:r>
      <w:rPr>
        <w:rStyle w:val="a5"/>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CE" w:rsidRDefault="00755DCE" w:rsidP="00787BD2">
    <w:pPr>
      <w:pStyle w:val="a4"/>
      <w:ind w:leftChars="100" w:left="320" w:rightChars="100" w:right="320"/>
      <w:jc w:val="right"/>
    </w:pPr>
    <w:r>
      <w:rPr>
        <w:rFonts w:hint="eastAsia"/>
      </w:rPr>
      <w:t>—</w:t>
    </w:r>
    <w:r>
      <w:rPr>
        <w:rFonts w:hint="eastAsia"/>
      </w:rPr>
      <w:t xml:space="preserve"> </w:t>
    </w:r>
    <w:r w:rsidR="00A4478E">
      <w:rPr>
        <w:rStyle w:val="a5"/>
      </w:rPr>
      <w:fldChar w:fldCharType="begin"/>
    </w:r>
    <w:r>
      <w:rPr>
        <w:rStyle w:val="a5"/>
      </w:rPr>
      <w:instrText xml:space="preserve"> PAGE </w:instrText>
    </w:r>
    <w:r w:rsidR="00A4478E">
      <w:rPr>
        <w:rStyle w:val="a5"/>
      </w:rPr>
      <w:fldChar w:fldCharType="separate"/>
    </w:r>
    <w:r w:rsidR="00734FD4">
      <w:rPr>
        <w:rStyle w:val="a5"/>
        <w:noProof/>
      </w:rPr>
      <w:t>5</w:t>
    </w:r>
    <w:r w:rsidR="00A4478E">
      <w:rPr>
        <w:rStyle w:val="a5"/>
      </w:rPr>
      <w:fldChar w:fldCharType="end"/>
    </w:r>
    <w:r>
      <w:rPr>
        <w:rStyle w:val="a5"/>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F8E" w:rsidRDefault="008C6F8E">
      <w:r>
        <w:separator/>
      </w:r>
    </w:p>
    <w:p w:rsidR="008C6F8E" w:rsidRDefault="008C6F8E"/>
  </w:footnote>
  <w:footnote w:type="continuationSeparator" w:id="1">
    <w:p w:rsidR="008C6F8E" w:rsidRDefault="008C6F8E">
      <w:r>
        <w:continuationSeparator/>
      </w:r>
    </w:p>
    <w:p w:rsidR="008C6F8E" w:rsidRDefault="008C6F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CE" w:rsidRDefault="00755DCE">
    <w:pPr>
      <w:pStyle w:val="a3"/>
    </w:pPr>
  </w:p>
  <w:p w:rsidR="00755DCE" w:rsidRDefault="00755D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1">
    <w:nsid w:val="53E43DE4"/>
    <w:multiLevelType w:val="singleLevel"/>
    <w:tmpl w:val="53E43DE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8" w:dllVersion="513" w:checkStyle="1"/>
  <w:stylePaneFormatFilter w:val="3F01"/>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15680"/>
    <w:rsid w:val="000208D3"/>
    <w:rsid w:val="00041FDE"/>
    <w:rsid w:val="00073870"/>
    <w:rsid w:val="000766AA"/>
    <w:rsid w:val="00183742"/>
    <w:rsid w:val="001A2350"/>
    <w:rsid w:val="001C6E41"/>
    <w:rsid w:val="00211E47"/>
    <w:rsid w:val="00212013"/>
    <w:rsid w:val="00220524"/>
    <w:rsid w:val="00220A6C"/>
    <w:rsid w:val="00223A0A"/>
    <w:rsid w:val="00247059"/>
    <w:rsid w:val="00254AD9"/>
    <w:rsid w:val="002561D5"/>
    <w:rsid w:val="002623E1"/>
    <w:rsid w:val="00281F82"/>
    <w:rsid w:val="00284AAB"/>
    <w:rsid w:val="002B4400"/>
    <w:rsid w:val="002C238C"/>
    <w:rsid w:val="002C5016"/>
    <w:rsid w:val="002E6C15"/>
    <w:rsid w:val="0031518A"/>
    <w:rsid w:val="00330990"/>
    <w:rsid w:val="003479C8"/>
    <w:rsid w:val="00360B1D"/>
    <w:rsid w:val="0037742C"/>
    <w:rsid w:val="00383D55"/>
    <w:rsid w:val="00395D46"/>
    <w:rsid w:val="00401940"/>
    <w:rsid w:val="00411A4D"/>
    <w:rsid w:val="004569EF"/>
    <w:rsid w:val="00473972"/>
    <w:rsid w:val="00482C22"/>
    <w:rsid w:val="0049721A"/>
    <w:rsid w:val="00565EC2"/>
    <w:rsid w:val="005B4950"/>
    <w:rsid w:val="005D1D8D"/>
    <w:rsid w:val="005F6BC3"/>
    <w:rsid w:val="00600C23"/>
    <w:rsid w:val="006271DF"/>
    <w:rsid w:val="006A00AB"/>
    <w:rsid w:val="006C11AB"/>
    <w:rsid w:val="006C4D1A"/>
    <w:rsid w:val="00712DD3"/>
    <w:rsid w:val="00734FD4"/>
    <w:rsid w:val="00755DCE"/>
    <w:rsid w:val="00765C45"/>
    <w:rsid w:val="00787BD2"/>
    <w:rsid w:val="0079798D"/>
    <w:rsid w:val="007F7E29"/>
    <w:rsid w:val="00840171"/>
    <w:rsid w:val="00841708"/>
    <w:rsid w:val="008625C4"/>
    <w:rsid w:val="008825F8"/>
    <w:rsid w:val="00885BFD"/>
    <w:rsid w:val="008B1BBA"/>
    <w:rsid w:val="008C393A"/>
    <w:rsid w:val="008C6F8E"/>
    <w:rsid w:val="008D01A5"/>
    <w:rsid w:val="008D10B1"/>
    <w:rsid w:val="008E0A7C"/>
    <w:rsid w:val="008E231D"/>
    <w:rsid w:val="008E292F"/>
    <w:rsid w:val="008F15B3"/>
    <w:rsid w:val="0090661E"/>
    <w:rsid w:val="00957739"/>
    <w:rsid w:val="00980879"/>
    <w:rsid w:val="0098308E"/>
    <w:rsid w:val="009866B4"/>
    <w:rsid w:val="009A6F76"/>
    <w:rsid w:val="009D2489"/>
    <w:rsid w:val="009D3210"/>
    <w:rsid w:val="009E6B98"/>
    <w:rsid w:val="009F6178"/>
    <w:rsid w:val="00A4478E"/>
    <w:rsid w:val="00A613D2"/>
    <w:rsid w:val="00A71F3B"/>
    <w:rsid w:val="00A85E8C"/>
    <w:rsid w:val="00B07030"/>
    <w:rsid w:val="00B12770"/>
    <w:rsid w:val="00B169A3"/>
    <w:rsid w:val="00B27B06"/>
    <w:rsid w:val="00B34963"/>
    <w:rsid w:val="00B34968"/>
    <w:rsid w:val="00B37DA8"/>
    <w:rsid w:val="00B45DFA"/>
    <w:rsid w:val="00B52192"/>
    <w:rsid w:val="00B67199"/>
    <w:rsid w:val="00B770A9"/>
    <w:rsid w:val="00B94D59"/>
    <w:rsid w:val="00BA0522"/>
    <w:rsid w:val="00BB3E9F"/>
    <w:rsid w:val="00BE711D"/>
    <w:rsid w:val="00C87116"/>
    <w:rsid w:val="00D0303E"/>
    <w:rsid w:val="00D32BAD"/>
    <w:rsid w:val="00D85619"/>
    <w:rsid w:val="00D93361"/>
    <w:rsid w:val="00DB0FB3"/>
    <w:rsid w:val="00DC0991"/>
    <w:rsid w:val="00DF37AA"/>
    <w:rsid w:val="00E145E8"/>
    <w:rsid w:val="00E21983"/>
    <w:rsid w:val="00E33647"/>
    <w:rsid w:val="00E73CF2"/>
    <w:rsid w:val="00EF0A16"/>
    <w:rsid w:val="00F17077"/>
    <w:rsid w:val="00F40C57"/>
    <w:rsid w:val="00F51D1F"/>
    <w:rsid w:val="00F923D5"/>
    <w:rsid w:val="00FC5AE9"/>
    <w:rsid w:val="00FE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78E"/>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A4478E"/>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00AB"/>
    <w:pPr>
      <w:tabs>
        <w:tab w:val="center" w:pos="4153"/>
        <w:tab w:val="right" w:pos="8306"/>
      </w:tabs>
      <w:spacing w:line="240" w:lineRule="atLeast"/>
      <w:jc w:val="center"/>
    </w:pPr>
    <w:rPr>
      <w:sz w:val="18"/>
    </w:rPr>
  </w:style>
  <w:style w:type="paragraph" w:customStyle="1" w:styleId="10">
    <w:name w:val="标题1"/>
    <w:basedOn w:val="a"/>
    <w:next w:val="a"/>
    <w:rsid w:val="006A00AB"/>
    <w:pPr>
      <w:tabs>
        <w:tab w:val="left" w:pos="9193"/>
        <w:tab w:val="left" w:pos="9827"/>
      </w:tabs>
      <w:spacing w:line="640" w:lineRule="atLeast"/>
      <w:ind w:firstLine="0"/>
      <w:jc w:val="center"/>
    </w:pPr>
    <w:rPr>
      <w:rFonts w:eastAsia="方正小标宋_GBK"/>
      <w:sz w:val="44"/>
    </w:rPr>
  </w:style>
  <w:style w:type="paragraph" w:styleId="a4">
    <w:name w:val="footer"/>
    <w:basedOn w:val="a"/>
    <w:rsid w:val="00A4478E"/>
    <w:pPr>
      <w:tabs>
        <w:tab w:val="center" w:pos="4153"/>
        <w:tab w:val="right" w:pos="8306"/>
      </w:tabs>
      <w:spacing w:line="400" w:lineRule="atLeast"/>
      <w:ind w:firstLine="0"/>
      <w:jc w:val="center"/>
    </w:pPr>
    <w:rPr>
      <w:sz w:val="28"/>
    </w:rPr>
  </w:style>
  <w:style w:type="character" w:styleId="a5">
    <w:name w:val="page number"/>
    <w:basedOn w:val="a0"/>
    <w:rsid w:val="00A4478E"/>
  </w:style>
  <w:style w:type="paragraph" w:customStyle="1" w:styleId="a6">
    <w:name w:val="红线"/>
    <w:basedOn w:val="1"/>
    <w:rsid w:val="00A4478E"/>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rsid w:val="00A4478E"/>
    <w:pPr>
      <w:ind w:firstLine="0"/>
      <w:jc w:val="center"/>
    </w:pPr>
    <w:rPr>
      <w:rFonts w:eastAsia="方正楷体_GBK"/>
    </w:rPr>
  </w:style>
  <w:style w:type="paragraph" w:customStyle="1" w:styleId="3">
    <w:name w:val="标题3"/>
    <w:basedOn w:val="a"/>
    <w:next w:val="a"/>
    <w:rsid w:val="00A4478E"/>
    <w:rPr>
      <w:rFonts w:eastAsia="方正黑体_GBK"/>
    </w:rPr>
  </w:style>
  <w:style w:type="paragraph" w:customStyle="1" w:styleId="a7">
    <w:name w:val="密级"/>
    <w:basedOn w:val="a"/>
    <w:rsid w:val="00A4478E"/>
    <w:pPr>
      <w:adjustRightInd w:val="0"/>
      <w:spacing w:line="440" w:lineRule="atLeast"/>
      <w:ind w:firstLine="0"/>
      <w:jc w:val="right"/>
    </w:pPr>
    <w:rPr>
      <w:rFonts w:ascii="黑体" w:eastAsia="黑体"/>
      <w:sz w:val="30"/>
    </w:rPr>
  </w:style>
  <w:style w:type="paragraph" w:styleId="a8">
    <w:name w:val="Normal Indent"/>
    <w:basedOn w:val="a"/>
    <w:next w:val="a"/>
    <w:rsid w:val="00A4478E"/>
    <w:pPr>
      <w:adjustRightInd w:val="0"/>
      <w:snapToGrid/>
      <w:ind w:firstLine="0"/>
      <w:jc w:val="left"/>
    </w:pPr>
    <w:rPr>
      <w:spacing w:val="-25"/>
    </w:rPr>
  </w:style>
  <w:style w:type="paragraph" w:styleId="a9">
    <w:name w:val="Title"/>
    <w:basedOn w:val="a"/>
    <w:qFormat/>
    <w:rsid w:val="008D10B1"/>
    <w:pPr>
      <w:autoSpaceDE/>
      <w:autoSpaceDN/>
      <w:adjustRightInd w:val="0"/>
      <w:spacing w:line="640" w:lineRule="atLeast"/>
      <w:ind w:firstLine="0"/>
      <w:jc w:val="center"/>
    </w:pPr>
    <w:rPr>
      <w:rFonts w:ascii="Arial" w:eastAsia="方正小标宋_GBK" w:hAnsi="Arial" w:cs="Arial"/>
      <w:bCs/>
      <w:snapToGrid/>
      <w:kern w:val="2"/>
      <w:szCs w:val="32"/>
    </w:rPr>
  </w:style>
  <w:style w:type="paragraph" w:customStyle="1" w:styleId="aa">
    <w:name w:val="抄送栏"/>
    <w:basedOn w:val="a"/>
    <w:rsid w:val="00A4478E"/>
    <w:pPr>
      <w:adjustRightInd w:val="0"/>
      <w:snapToGrid/>
      <w:spacing w:line="454" w:lineRule="atLeast"/>
      <w:ind w:left="1310" w:right="357" w:hanging="953"/>
    </w:pPr>
  </w:style>
  <w:style w:type="paragraph" w:customStyle="1" w:styleId="ab">
    <w:name w:val="线型"/>
    <w:basedOn w:val="aa"/>
    <w:rsid w:val="00A4478E"/>
    <w:pPr>
      <w:spacing w:line="240" w:lineRule="auto"/>
      <w:ind w:left="0" w:firstLine="0"/>
      <w:jc w:val="center"/>
    </w:pPr>
    <w:rPr>
      <w:sz w:val="21"/>
    </w:rPr>
  </w:style>
  <w:style w:type="paragraph" w:customStyle="1" w:styleId="ac">
    <w:name w:val="印发栏"/>
    <w:basedOn w:val="a8"/>
    <w:rsid w:val="00A4478E"/>
    <w:pPr>
      <w:tabs>
        <w:tab w:val="right" w:pos="8465"/>
      </w:tabs>
      <w:spacing w:line="454" w:lineRule="atLeast"/>
      <w:ind w:left="357" w:right="357"/>
    </w:pPr>
    <w:rPr>
      <w:spacing w:val="0"/>
    </w:rPr>
  </w:style>
  <w:style w:type="paragraph" w:customStyle="1" w:styleId="ad">
    <w:name w:val="印数"/>
    <w:basedOn w:val="ac"/>
    <w:rsid w:val="00A4478E"/>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A4478E"/>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A4478E"/>
  </w:style>
  <w:style w:type="paragraph" w:customStyle="1" w:styleId="af1">
    <w:name w:val="紧急程度"/>
    <w:basedOn w:val="a7"/>
    <w:rsid w:val="00A4478E"/>
    <w:pPr>
      <w:overflowPunct w:val="0"/>
    </w:pPr>
    <w:rPr>
      <w:sz w:val="32"/>
    </w:rPr>
  </w:style>
  <w:style w:type="paragraph" w:customStyle="1" w:styleId="11">
    <w:name w:val="样式1"/>
    <w:basedOn w:val="a"/>
    <w:rsid w:val="00A4478E"/>
  </w:style>
  <w:style w:type="numbering" w:customStyle="1" w:styleId="12">
    <w:name w:val="无列表1"/>
    <w:next w:val="a2"/>
    <w:semiHidden/>
    <w:rsid w:val="008D10B1"/>
  </w:style>
  <w:style w:type="numbering" w:customStyle="1" w:styleId="20">
    <w:name w:val="无列表2"/>
    <w:next w:val="a2"/>
    <w:semiHidden/>
    <w:rsid w:val="00360B1D"/>
  </w:style>
  <w:style w:type="character" w:styleId="af2">
    <w:name w:val="Hyperlink"/>
    <w:rsid w:val="00360B1D"/>
    <w:rPr>
      <w:color w:val="0000FF"/>
      <w:u w:val="single"/>
    </w:rPr>
  </w:style>
  <w:style w:type="paragraph" w:styleId="21">
    <w:name w:val="toc 2"/>
    <w:basedOn w:val="a"/>
    <w:next w:val="a"/>
    <w:semiHidden/>
    <w:rsid w:val="00360B1D"/>
    <w:pPr>
      <w:autoSpaceDE/>
      <w:autoSpaceDN/>
      <w:snapToGrid/>
      <w:spacing w:line="240" w:lineRule="auto"/>
      <w:ind w:leftChars="200" w:left="420" w:firstLine="0"/>
    </w:pPr>
    <w:rPr>
      <w:rFonts w:eastAsia="宋体"/>
      <w:snapToGrid/>
      <w:kern w:val="2"/>
      <w:sz w:val="21"/>
    </w:rPr>
  </w:style>
  <w:style w:type="paragraph" w:styleId="13">
    <w:name w:val="toc 1"/>
    <w:basedOn w:val="a"/>
    <w:next w:val="a"/>
    <w:semiHidden/>
    <w:rsid w:val="00360B1D"/>
    <w:pPr>
      <w:tabs>
        <w:tab w:val="right" w:leader="dot" w:pos="8296"/>
      </w:tabs>
      <w:autoSpaceDE/>
      <w:autoSpaceDN/>
      <w:snapToGrid/>
      <w:spacing w:beforeLines="50" w:line="360" w:lineRule="auto"/>
      <w:ind w:firstLine="0"/>
    </w:pPr>
    <w:rPr>
      <w:rFonts w:ascii="宋体" w:eastAsia="宋体" w:hAnsi="宋体"/>
      <w:bCs/>
      <w:snapToGrid/>
      <w:kern w:val="2"/>
      <w:sz w:val="28"/>
      <w:szCs w:val="28"/>
    </w:rPr>
  </w:style>
  <w:style w:type="paragraph" w:styleId="af3">
    <w:name w:val="Plain Text"/>
    <w:basedOn w:val="a"/>
    <w:rsid w:val="00360B1D"/>
    <w:pPr>
      <w:autoSpaceDE/>
      <w:autoSpaceDN/>
      <w:snapToGrid/>
      <w:spacing w:line="240" w:lineRule="auto"/>
      <w:ind w:firstLine="0"/>
    </w:pPr>
    <w:rPr>
      <w:rFonts w:ascii="宋体" w:eastAsia="宋体" w:hAnsi="Courier New"/>
      <w:snapToGrid/>
      <w:kern w:val="2"/>
      <w:sz w:val="21"/>
    </w:rPr>
  </w:style>
  <w:style w:type="paragraph" w:styleId="af4">
    <w:name w:val="Document Map"/>
    <w:basedOn w:val="a"/>
    <w:semiHidden/>
    <w:rsid w:val="00360B1D"/>
    <w:pPr>
      <w:shd w:val="clear" w:color="auto" w:fill="000080"/>
      <w:autoSpaceDE/>
      <w:autoSpaceDN/>
      <w:snapToGrid/>
      <w:spacing w:line="240" w:lineRule="auto"/>
      <w:ind w:firstLine="0"/>
    </w:pPr>
    <w:rPr>
      <w:rFonts w:eastAsia="宋体"/>
      <w:snapToGrid/>
      <w:kern w:val="2"/>
      <w:sz w:val="21"/>
    </w:rPr>
  </w:style>
  <w:style w:type="paragraph" w:customStyle="1" w:styleId="af5">
    <w:name w:val="标准书脚_奇数页"/>
    <w:rsid w:val="00360B1D"/>
    <w:pPr>
      <w:spacing w:before="120"/>
      <w:jc w:val="right"/>
    </w:pPr>
    <w:rPr>
      <w:sz w:val="18"/>
    </w:rPr>
  </w:style>
  <w:style w:type="numbering" w:customStyle="1" w:styleId="30">
    <w:name w:val="无列表3"/>
    <w:next w:val="a2"/>
    <w:semiHidden/>
    <w:rsid w:val="00B94D59"/>
  </w:style>
  <w:style w:type="numbering" w:customStyle="1" w:styleId="4">
    <w:name w:val="无列表4"/>
    <w:next w:val="a2"/>
    <w:semiHidden/>
    <w:rsid w:val="009A6F76"/>
  </w:style>
  <w:style w:type="numbering" w:customStyle="1" w:styleId="5">
    <w:name w:val="无列表5"/>
    <w:next w:val="a2"/>
    <w:semiHidden/>
    <w:rsid w:val="009A6F76"/>
  </w:style>
  <w:style w:type="paragraph" w:styleId="af6">
    <w:name w:val="Balloon Text"/>
    <w:basedOn w:val="a"/>
    <w:semiHidden/>
    <w:rsid w:val="000208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557</Words>
  <Characters>3175</Characters>
  <Application>Microsoft Office Word</Application>
  <DocSecurity>0</DocSecurity>
  <Lines>26</Lines>
  <Paragraphs>7</Paragraphs>
  <ScaleCrop>false</ScaleCrop>
  <Company>wyk</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User</dc:creator>
  <cp:lastModifiedBy>史骏</cp:lastModifiedBy>
  <cp:revision>4</cp:revision>
  <cp:lastPrinted>2016-07-05T07:16:00Z</cp:lastPrinted>
  <dcterms:created xsi:type="dcterms:W3CDTF">2016-07-05T07:17:00Z</dcterms:created>
  <dcterms:modified xsi:type="dcterms:W3CDTF">2016-07-05T07:44:00Z</dcterms:modified>
</cp:coreProperties>
</file>