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5"/>
        <w:tblpPr w:leftFromText="180" w:rightFromText="180" w:vertAnchor="text" w:horzAnchor="page" w:tblpX="1431" w:tblpY="167"/>
        <w:tblOverlap w:val="never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1508"/>
        <w:gridCol w:w="2193"/>
        <w:gridCol w:w="4935"/>
        <w:gridCol w:w="2361"/>
        <w:gridCol w:w="20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13988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eastAsia="zh-CN" w:bidi="ar"/>
              </w:rPr>
              <w:t>镇（区）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参加培训人员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eastAsia="zh-CN" w:bidi="ar"/>
              </w:rPr>
              <w:t>汇总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  <w:bookmarkEnd w:id="0"/>
          <w:p>
            <w:pPr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填报单位：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49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3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0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QQ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417" w:right="1077" w:bottom="1417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超粗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77A7"/>
    <w:rsid w:val="44FE78C8"/>
    <w:rsid w:val="476F03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汤锐</cp:lastModifiedBy>
  <dcterms:modified xsi:type="dcterms:W3CDTF">2017-04-05T07:40:44Z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