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F7" w:rsidRDefault="00147FF7">
      <w:pPr>
        <w:jc w:val="left"/>
        <w:rPr>
          <w:rFonts w:ascii="FangSong_GB2312" w:eastAsia="FangSong_GB2312" w:hAnsi="仿宋"/>
          <w:b/>
          <w:bCs/>
          <w:sz w:val="36"/>
          <w:szCs w:val="36"/>
        </w:rPr>
      </w:pPr>
      <w:r>
        <w:rPr>
          <w:rFonts w:ascii="FangSong_GB2312" w:eastAsia="FangSong_GB2312" w:hAnsi="仿宋" w:hint="eastAsia"/>
          <w:b/>
          <w:bCs/>
          <w:sz w:val="36"/>
          <w:szCs w:val="36"/>
        </w:rPr>
        <w:t>附件</w:t>
      </w:r>
      <w:r>
        <w:rPr>
          <w:rFonts w:ascii="FangSong_GB2312" w:eastAsia="FangSong_GB2312" w:hAnsi="仿宋"/>
          <w:b/>
          <w:bCs/>
          <w:sz w:val="36"/>
          <w:szCs w:val="36"/>
        </w:rPr>
        <w:t xml:space="preserve">    </w:t>
      </w:r>
      <w:r w:rsidRPr="006617B3">
        <w:rPr>
          <w:rFonts w:ascii="FangSong_GB2312" w:eastAsia="FangSong_GB2312" w:hAnsi="仿宋"/>
          <w:b/>
          <w:bCs/>
          <w:sz w:val="36"/>
          <w:szCs w:val="36"/>
        </w:rPr>
        <w:t>201</w:t>
      </w:r>
      <w:r>
        <w:rPr>
          <w:rFonts w:ascii="FangSong_GB2312" w:eastAsia="FangSong_GB2312" w:hAnsi="仿宋"/>
          <w:b/>
          <w:bCs/>
          <w:sz w:val="36"/>
          <w:szCs w:val="36"/>
        </w:rPr>
        <w:t>8</w:t>
      </w:r>
      <w:r w:rsidRPr="006617B3">
        <w:rPr>
          <w:rFonts w:ascii="FangSong_GB2312" w:eastAsia="FangSong_GB2312" w:hAnsi="仿宋" w:hint="eastAsia"/>
          <w:b/>
          <w:bCs/>
          <w:sz w:val="36"/>
          <w:szCs w:val="36"/>
        </w:rPr>
        <w:t>年常州市危险废物规范化管理检查问题整改及违法行为查处情况汇总表</w:t>
      </w:r>
    </w:p>
    <w:tbl>
      <w:tblPr>
        <w:tblW w:w="155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277"/>
        <w:gridCol w:w="5953"/>
        <w:gridCol w:w="3968"/>
        <w:gridCol w:w="1418"/>
        <w:gridCol w:w="1418"/>
      </w:tblGrid>
      <w:tr w:rsidR="00147FF7" w:rsidTr="00BE2586">
        <w:trPr>
          <w:trHeight w:val="512"/>
        </w:trPr>
        <w:tc>
          <w:tcPr>
            <w:tcW w:w="709" w:type="dxa"/>
            <w:vAlign w:val="center"/>
          </w:tcPr>
          <w:p w:rsidR="00147FF7" w:rsidRDefault="00147FF7">
            <w:pPr>
              <w:jc w:val="center"/>
              <w:rPr>
                <w:rFonts w:ascii="Calibri" w:hAnsi="Calibri"/>
                <w:b/>
                <w:sz w:val="18"/>
                <w:szCs w:val="18"/>
              </w:rPr>
            </w:pPr>
            <w:r>
              <w:rPr>
                <w:rFonts w:hint="eastAsia"/>
                <w:b/>
                <w:sz w:val="18"/>
                <w:szCs w:val="18"/>
              </w:rPr>
              <w:t>序号</w:t>
            </w:r>
          </w:p>
        </w:tc>
        <w:tc>
          <w:tcPr>
            <w:tcW w:w="851" w:type="dxa"/>
            <w:vAlign w:val="center"/>
          </w:tcPr>
          <w:p w:rsidR="00147FF7" w:rsidRDefault="00147FF7">
            <w:pPr>
              <w:jc w:val="center"/>
              <w:rPr>
                <w:rFonts w:ascii="Calibri" w:hAnsi="Calibri"/>
                <w:b/>
                <w:sz w:val="18"/>
                <w:szCs w:val="18"/>
              </w:rPr>
            </w:pPr>
            <w:r>
              <w:rPr>
                <w:rFonts w:hint="eastAsia"/>
                <w:b/>
                <w:sz w:val="18"/>
                <w:szCs w:val="18"/>
              </w:rPr>
              <w:t>地区</w:t>
            </w:r>
          </w:p>
        </w:tc>
        <w:tc>
          <w:tcPr>
            <w:tcW w:w="1277" w:type="dxa"/>
            <w:vAlign w:val="center"/>
          </w:tcPr>
          <w:p w:rsidR="00147FF7" w:rsidRDefault="00147FF7">
            <w:pPr>
              <w:jc w:val="center"/>
              <w:rPr>
                <w:rFonts w:ascii="Calibri" w:hAnsi="Calibri"/>
                <w:b/>
                <w:sz w:val="18"/>
                <w:szCs w:val="18"/>
              </w:rPr>
            </w:pPr>
            <w:r>
              <w:rPr>
                <w:rFonts w:hint="eastAsia"/>
                <w:b/>
                <w:sz w:val="18"/>
                <w:szCs w:val="18"/>
              </w:rPr>
              <w:t>企业名称</w:t>
            </w:r>
          </w:p>
        </w:tc>
        <w:tc>
          <w:tcPr>
            <w:tcW w:w="5953" w:type="dxa"/>
            <w:vAlign w:val="center"/>
          </w:tcPr>
          <w:p w:rsidR="00147FF7" w:rsidRDefault="00147FF7">
            <w:pPr>
              <w:jc w:val="center"/>
              <w:rPr>
                <w:rFonts w:ascii="Calibri" w:hAnsi="Calibri"/>
                <w:b/>
                <w:sz w:val="18"/>
                <w:szCs w:val="18"/>
              </w:rPr>
            </w:pPr>
            <w:r>
              <w:rPr>
                <w:rFonts w:hint="eastAsia"/>
                <w:b/>
                <w:sz w:val="18"/>
                <w:szCs w:val="18"/>
              </w:rPr>
              <w:t>检查中存在的问题</w:t>
            </w:r>
          </w:p>
        </w:tc>
        <w:tc>
          <w:tcPr>
            <w:tcW w:w="3968" w:type="dxa"/>
            <w:vAlign w:val="center"/>
          </w:tcPr>
          <w:p w:rsidR="00147FF7" w:rsidRDefault="00147FF7">
            <w:pPr>
              <w:jc w:val="center"/>
              <w:rPr>
                <w:rFonts w:ascii="Calibri" w:hAnsi="Calibri"/>
                <w:b/>
                <w:sz w:val="18"/>
                <w:szCs w:val="18"/>
              </w:rPr>
            </w:pPr>
            <w:r>
              <w:rPr>
                <w:rFonts w:hint="eastAsia"/>
                <w:b/>
                <w:sz w:val="18"/>
                <w:szCs w:val="18"/>
              </w:rPr>
              <w:t>整改情况</w:t>
            </w:r>
          </w:p>
        </w:tc>
        <w:tc>
          <w:tcPr>
            <w:tcW w:w="1418" w:type="dxa"/>
          </w:tcPr>
          <w:p w:rsidR="00147FF7" w:rsidRDefault="00147FF7">
            <w:pPr>
              <w:jc w:val="center"/>
              <w:rPr>
                <w:b/>
                <w:sz w:val="18"/>
                <w:szCs w:val="18"/>
              </w:rPr>
            </w:pPr>
            <w:r>
              <w:rPr>
                <w:rFonts w:hint="eastAsia"/>
                <w:b/>
                <w:sz w:val="18"/>
                <w:szCs w:val="18"/>
              </w:rPr>
              <w:t>违法行为查处情况</w:t>
            </w:r>
          </w:p>
        </w:tc>
        <w:tc>
          <w:tcPr>
            <w:tcW w:w="1418" w:type="dxa"/>
            <w:vAlign w:val="center"/>
          </w:tcPr>
          <w:p w:rsidR="00147FF7" w:rsidRDefault="00147FF7">
            <w:pPr>
              <w:jc w:val="center"/>
              <w:rPr>
                <w:rFonts w:ascii="Calibri" w:hAnsi="Calibri"/>
                <w:b/>
                <w:sz w:val="18"/>
                <w:szCs w:val="18"/>
              </w:rPr>
            </w:pPr>
            <w:r>
              <w:rPr>
                <w:rFonts w:hint="eastAsia"/>
                <w:b/>
                <w:sz w:val="18"/>
                <w:szCs w:val="18"/>
              </w:rPr>
              <w:t>信息公开情况</w:t>
            </w:r>
          </w:p>
        </w:tc>
      </w:tr>
      <w:tr w:rsidR="00147FF7" w:rsidTr="00BE2586">
        <w:trPr>
          <w:trHeight w:val="90"/>
        </w:trPr>
        <w:tc>
          <w:tcPr>
            <w:tcW w:w="709" w:type="dxa"/>
            <w:vMerge w:val="restart"/>
            <w:vAlign w:val="center"/>
          </w:tcPr>
          <w:p w:rsidR="00147FF7" w:rsidRPr="0059568F" w:rsidRDefault="00147FF7" w:rsidP="0059568F">
            <w:pPr>
              <w:pStyle w:val="10"/>
              <w:ind w:firstLineChars="0" w:firstLine="0"/>
              <w:rPr>
                <w:color w:val="000000"/>
                <w:sz w:val="22"/>
              </w:rPr>
            </w:pPr>
            <w:r w:rsidRPr="0059568F">
              <w:rPr>
                <w:color w:val="000000"/>
                <w:sz w:val="22"/>
                <w:szCs w:val="22"/>
              </w:rPr>
              <w:t>1</w:t>
            </w:r>
          </w:p>
        </w:tc>
        <w:tc>
          <w:tcPr>
            <w:tcW w:w="851" w:type="dxa"/>
            <w:vMerge w:val="restart"/>
            <w:vAlign w:val="center"/>
          </w:tcPr>
          <w:p w:rsidR="00147FF7" w:rsidRPr="0059568F" w:rsidRDefault="00147FF7" w:rsidP="0059568F">
            <w:pPr>
              <w:pStyle w:val="10"/>
              <w:ind w:firstLineChars="0" w:firstLine="0"/>
              <w:rPr>
                <w:color w:val="000000"/>
                <w:sz w:val="22"/>
              </w:rPr>
            </w:pPr>
            <w:r w:rsidRPr="0059568F">
              <w:rPr>
                <w:rFonts w:hint="eastAsia"/>
                <w:color w:val="000000"/>
                <w:sz w:val="22"/>
                <w:szCs w:val="22"/>
              </w:rPr>
              <w:t>溧阳市</w:t>
            </w:r>
          </w:p>
        </w:tc>
        <w:tc>
          <w:tcPr>
            <w:tcW w:w="1277" w:type="dxa"/>
            <w:vMerge w:val="restart"/>
            <w:vAlign w:val="center"/>
          </w:tcPr>
          <w:p w:rsidR="00147FF7" w:rsidRPr="0059568F" w:rsidRDefault="00147FF7" w:rsidP="0059568F">
            <w:pPr>
              <w:pStyle w:val="10"/>
              <w:ind w:firstLineChars="0" w:firstLine="0"/>
              <w:rPr>
                <w:color w:val="000000"/>
                <w:sz w:val="22"/>
              </w:rPr>
            </w:pPr>
            <w:r w:rsidRPr="0059568F">
              <w:rPr>
                <w:rFonts w:hint="eastAsia"/>
                <w:color w:val="000000"/>
                <w:sz w:val="22"/>
                <w:szCs w:val="22"/>
              </w:rPr>
              <w:t>溧阳市大洋危险废弃包装桶回收处理有限公司</w:t>
            </w:r>
          </w:p>
        </w:tc>
        <w:tc>
          <w:tcPr>
            <w:tcW w:w="5953" w:type="dxa"/>
            <w:vAlign w:val="center"/>
          </w:tcPr>
          <w:p w:rsidR="00147FF7" w:rsidRDefault="00147FF7">
            <w:pPr>
              <w:adjustRightInd w:val="0"/>
              <w:snapToGrid w:val="0"/>
              <w:jc w:val="left"/>
              <w:rPr>
                <w:rFonts w:ascii="Calibri" w:hAnsi="Calibri"/>
                <w:sz w:val="18"/>
                <w:szCs w:val="18"/>
              </w:rPr>
            </w:pPr>
            <w:r w:rsidRPr="00B605E6">
              <w:t>1</w:t>
            </w:r>
            <w:r w:rsidRPr="00B605E6">
              <w:rPr>
                <w:rFonts w:hint="eastAsia"/>
              </w:rPr>
              <w:t>、</w:t>
            </w:r>
            <w:r>
              <w:rPr>
                <w:rFonts w:hint="eastAsia"/>
              </w:rPr>
              <w:t>未完成“三同时”验收；</w:t>
            </w:r>
          </w:p>
        </w:tc>
        <w:tc>
          <w:tcPr>
            <w:tcW w:w="3968" w:type="dxa"/>
            <w:vAlign w:val="center"/>
          </w:tcPr>
          <w:p w:rsidR="00147FF7" w:rsidRPr="00104F1A" w:rsidRDefault="00147FF7" w:rsidP="006665E5">
            <w:pPr>
              <w:rPr>
                <w:sz w:val="18"/>
                <w:szCs w:val="18"/>
              </w:rPr>
            </w:pPr>
            <w:r>
              <w:t>1</w:t>
            </w:r>
            <w:r>
              <w:rPr>
                <w:rFonts w:hint="eastAsia"/>
              </w:rPr>
              <w:t>、</w:t>
            </w:r>
            <w:r>
              <w:t>2018</w:t>
            </w:r>
            <w:r>
              <w:rPr>
                <w:rFonts w:hint="eastAsia"/>
              </w:rPr>
              <w:t>年</w:t>
            </w:r>
            <w:r>
              <w:t>12</w:t>
            </w:r>
            <w:r>
              <w:rPr>
                <w:rFonts w:hint="eastAsia"/>
              </w:rPr>
              <w:t>月份完成“三同时”验收。</w:t>
            </w:r>
          </w:p>
        </w:tc>
        <w:tc>
          <w:tcPr>
            <w:tcW w:w="1418" w:type="dxa"/>
            <w:vMerge w:val="restart"/>
          </w:tcPr>
          <w:p w:rsidR="00147FF7" w:rsidRDefault="00147FF7">
            <w:pPr>
              <w:widowControl/>
              <w:jc w:val="left"/>
              <w:rPr>
                <w:rFonts w:ascii="Calibri" w:hAnsi="Calibri"/>
                <w:sz w:val="18"/>
                <w:szCs w:val="18"/>
              </w:rPr>
            </w:pPr>
          </w:p>
        </w:tc>
        <w:tc>
          <w:tcPr>
            <w:tcW w:w="1418" w:type="dxa"/>
            <w:vMerge w:val="restart"/>
            <w:vAlign w:val="center"/>
          </w:tcPr>
          <w:p w:rsidR="00147FF7" w:rsidRDefault="00147FF7">
            <w:pPr>
              <w:widowControl/>
              <w:jc w:val="left"/>
              <w:rPr>
                <w:rFonts w:ascii="Calibri" w:hAnsi="Calibri"/>
                <w:sz w:val="18"/>
                <w:szCs w:val="18"/>
              </w:rPr>
            </w:pPr>
            <w:r>
              <w:rPr>
                <w:rFonts w:ascii="Calibri" w:hAnsi="Calibri" w:hint="eastAsia"/>
                <w:sz w:val="18"/>
                <w:szCs w:val="18"/>
              </w:rPr>
              <w:t>已公示在溧阳市政府网站上</w:t>
            </w:r>
          </w:p>
        </w:tc>
      </w:tr>
      <w:tr w:rsidR="00147FF7" w:rsidTr="00BE2586">
        <w:trPr>
          <w:trHeight w:val="90"/>
        </w:trPr>
        <w:tc>
          <w:tcPr>
            <w:tcW w:w="709" w:type="dxa"/>
            <w:vMerge/>
            <w:vAlign w:val="center"/>
          </w:tcPr>
          <w:p w:rsidR="00147FF7" w:rsidRPr="0059568F" w:rsidRDefault="00147FF7" w:rsidP="0059568F">
            <w:pPr>
              <w:pStyle w:val="10"/>
              <w:ind w:firstLineChars="0" w:firstLine="0"/>
              <w:rPr>
                <w:color w:val="000000"/>
                <w:sz w:val="22"/>
              </w:rPr>
            </w:pPr>
          </w:p>
        </w:tc>
        <w:tc>
          <w:tcPr>
            <w:tcW w:w="851" w:type="dxa"/>
            <w:vMerge/>
            <w:vAlign w:val="center"/>
          </w:tcPr>
          <w:p w:rsidR="00147FF7" w:rsidRPr="0059568F" w:rsidRDefault="00147FF7" w:rsidP="0059568F">
            <w:pPr>
              <w:pStyle w:val="10"/>
              <w:ind w:firstLineChars="0" w:firstLine="0"/>
              <w:rPr>
                <w:color w:val="000000"/>
                <w:sz w:val="22"/>
              </w:rPr>
            </w:pPr>
          </w:p>
        </w:tc>
        <w:tc>
          <w:tcPr>
            <w:tcW w:w="1277" w:type="dxa"/>
            <w:vMerge/>
            <w:vAlign w:val="center"/>
          </w:tcPr>
          <w:p w:rsidR="00147FF7" w:rsidRPr="0059568F" w:rsidRDefault="00147FF7" w:rsidP="0059568F">
            <w:pPr>
              <w:pStyle w:val="10"/>
              <w:ind w:firstLineChars="0" w:firstLine="0"/>
              <w:rPr>
                <w:color w:val="000000"/>
                <w:sz w:val="22"/>
              </w:rPr>
            </w:pPr>
          </w:p>
        </w:tc>
        <w:tc>
          <w:tcPr>
            <w:tcW w:w="5953" w:type="dxa"/>
            <w:vAlign w:val="center"/>
          </w:tcPr>
          <w:p w:rsidR="00147FF7" w:rsidRPr="00960668" w:rsidRDefault="00147FF7" w:rsidP="006665E5">
            <w:pPr>
              <w:pStyle w:val="10"/>
              <w:ind w:firstLineChars="0" w:firstLine="0"/>
              <w:rPr>
                <w:rFonts w:ascii="SimSun"/>
                <w:sz w:val="18"/>
                <w:szCs w:val="18"/>
              </w:rPr>
            </w:pPr>
            <w:r>
              <w:rPr>
                <w:color w:val="000000"/>
                <w:sz w:val="22"/>
                <w:szCs w:val="22"/>
              </w:rPr>
              <w:t>2</w:t>
            </w:r>
            <w:r>
              <w:rPr>
                <w:rFonts w:hint="eastAsia"/>
                <w:color w:val="000000"/>
                <w:sz w:val="22"/>
                <w:szCs w:val="22"/>
              </w:rPr>
              <w:t>、部分设施未设置围堰；</w:t>
            </w:r>
          </w:p>
        </w:tc>
        <w:tc>
          <w:tcPr>
            <w:tcW w:w="3968" w:type="dxa"/>
            <w:vAlign w:val="center"/>
          </w:tcPr>
          <w:p w:rsidR="00147FF7" w:rsidRDefault="00147FF7" w:rsidP="006665E5">
            <w:pPr>
              <w:rPr>
                <w:b/>
                <w:sz w:val="18"/>
                <w:szCs w:val="18"/>
              </w:rPr>
            </w:pPr>
            <w:r>
              <w:rPr>
                <w:color w:val="000000"/>
                <w:sz w:val="22"/>
                <w:szCs w:val="22"/>
              </w:rPr>
              <w:t>2</w:t>
            </w:r>
            <w:r>
              <w:rPr>
                <w:rFonts w:hint="eastAsia"/>
                <w:color w:val="000000"/>
                <w:sz w:val="22"/>
                <w:szCs w:val="22"/>
              </w:rPr>
              <w:t>、厂内污水处理设施已于</w:t>
            </w:r>
            <w:r>
              <w:rPr>
                <w:color w:val="000000"/>
                <w:sz w:val="22"/>
                <w:szCs w:val="22"/>
              </w:rPr>
              <w:t>2018</w:t>
            </w:r>
            <w:r>
              <w:rPr>
                <w:rFonts w:hint="eastAsia"/>
                <w:color w:val="000000"/>
                <w:sz w:val="22"/>
                <w:szCs w:val="22"/>
              </w:rPr>
              <w:t>年</w:t>
            </w:r>
            <w:r>
              <w:rPr>
                <w:color w:val="000000"/>
                <w:sz w:val="22"/>
                <w:szCs w:val="22"/>
              </w:rPr>
              <w:t>11</w:t>
            </w:r>
            <w:r>
              <w:rPr>
                <w:rFonts w:hint="eastAsia"/>
                <w:color w:val="000000"/>
                <w:sz w:val="22"/>
                <w:szCs w:val="22"/>
              </w:rPr>
              <w:t>月完成围堰工作。</w:t>
            </w:r>
          </w:p>
        </w:tc>
        <w:tc>
          <w:tcPr>
            <w:tcW w:w="1418" w:type="dxa"/>
            <w:vMerge/>
          </w:tcPr>
          <w:p w:rsidR="00147FF7" w:rsidRDefault="00147FF7">
            <w:pPr>
              <w:widowControl/>
              <w:jc w:val="left"/>
              <w:rPr>
                <w:rFonts w:ascii="Calibri" w:hAnsi="Calibri"/>
                <w:sz w:val="18"/>
                <w:szCs w:val="18"/>
              </w:rPr>
            </w:pPr>
          </w:p>
        </w:tc>
        <w:tc>
          <w:tcPr>
            <w:tcW w:w="1418" w:type="dxa"/>
            <w:vMerge/>
            <w:vAlign w:val="center"/>
          </w:tcPr>
          <w:p w:rsidR="00147FF7" w:rsidRDefault="00147FF7">
            <w:pPr>
              <w:widowControl/>
              <w:jc w:val="left"/>
              <w:rPr>
                <w:rFonts w:ascii="Calibri" w:hAnsi="Calibri"/>
                <w:sz w:val="18"/>
                <w:szCs w:val="18"/>
              </w:rPr>
            </w:pPr>
          </w:p>
        </w:tc>
      </w:tr>
      <w:tr w:rsidR="00147FF7" w:rsidTr="00BE2586">
        <w:trPr>
          <w:trHeight w:val="90"/>
        </w:trPr>
        <w:tc>
          <w:tcPr>
            <w:tcW w:w="709" w:type="dxa"/>
            <w:vMerge/>
            <w:vAlign w:val="center"/>
          </w:tcPr>
          <w:p w:rsidR="00147FF7" w:rsidRPr="0059568F" w:rsidRDefault="00147FF7" w:rsidP="0059568F">
            <w:pPr>
              <w:pStyle w:val="10"/>
              <w:ind w:firstLineChars="0" w:firstLine="0"/>
              <w:rPr>
                <w:color w:val="000000"/>
                <w:sz w:val="22"/>
              </w:rPr>
            </w:pPr>
          </w:p>
        </w:tc>
        <w:tc>
          <w:tcPr>
            <w:tcW w:w="851" w:type="dxa"/>
            <w:vMerge/>
            <w:vAlign w:val="center"/>
          </w:tcPr>
          <w:p w:rsidR="00147FF7" w:rsidRPr="0059568F" w:rsidRDefault="00147FF7" w:rsidP="0059568F">
            <w:pPr>
              <w:pStyle w:val="10"/>
              <w:ind w:firstLineChars="0" w:firstLine="0"/>
              <w:rPr>
                <w:color w:val="000000"/>
                <w:sz w:val="22"/>
              </w:rPr>
            </w:pPr>
          </w:p>
        </w:tc>
        <w:tc>
          <w:tcPr>
            <w:tcW w:w="1277" w:type="dxa"/>
            <w:vMerge/>
            <w:vAlign w:val="center"/>
          </w:tcPr>
          <w:p w:rsidR="00147FF7" w:rsidRPr="0059568F" w:rsidRDefault="00147FF7" w:rsidP="0059568F">
            <w:pPr>
              <w:pStyle w:val="10"/>
              <w:ind w:firstLineChars="0" w:firstLine="0"/>
              <w:rPr>
                <w:color w:val="000000"/>
                <w:sz w:val="22"/>
              </w:rPr>
            </w:pPr>
          </w:p>
        </w:tc>
        <w:tc>
          <w:tcPr>
            <w:tcW w:w="5953" w:type="dxa"/>
            <w:vAlign w:val="center"/>
          </w:tcPr>
          <w:p w:rsidR="00147FF7" w:rsidRPr="001C6DD4" w:rsidRDefault="00147FF7" w:rsidP="006665E5">
            <w:pPr>
              <w:pStyle w:val="10"/>
              <w:ind w:firstLineChars="0" w:firstLine="0"/>
              <w:jc w:val="left"/>
              <w:rPr>
                <w:color w:val="000000"/>
                <w:sz w:val="22"/>
              </w:rPr>
            </w:pPr>
            <w:r>
              <w:rPr>
                <w:color w:val="000000"/>
                <w:sz w:val="22"/>
                <w:szCs w:val="22"/>
              </w:rPr>
              <w:t>3</w:t>
            </w:r>
            <w:r>
              <w:rPr>
                <w:rFonts w:hint="eastAsia"/>
                <w:color w:val="000000"/>
                <w:sz w:val="22"/>
                <w:szCs w:val="22"/>
              </w:rPr>
              <w:t>、废水未开展监督性监测；</w:t>
            </w:r>
          </w:p>
        </w:tc>
        <w:tc>
          <w:tcPr>
            <w:tcW w:w="3968" w:type="dxa"/>
            <w:vAlign w:val="center"/>
          </w:tcPr>
          <w:p w:rsidR="00147FF7" w:rsidRDefault="00147FF7" w:rsidP="006665E5">
            <w:pPr>
              <w:rPr>
                <w:b/>
                <w:sz w:val="18"/>
                <w:szCs w:val="18"/>
              </w:rPr>
            </w:pPr>
            <w:r>
              <w:t>3</w:t>
            </w:r>
            <w:r>
              <w:rPr>
                <w:rFonts w:hint="eastAsia"/>
              </w:rPr>
              <w:t>、溧阳市环境监测站于</w:t>
            </w:r>
            <w:r>
              <w:t>2018</w:t>
            </w:r>
            <w:r>
              <w:rPr>
                <w:rFonts w:hint="eastAsia"/>
              </w:rPr>
              <w:t>年</w:t>
            </w:r>
            <w:r>
              <w:t>11</w:t>
            </w:r>
            <w:r>
              <w:rPr>
                <w:rFonts w:hint="eastAsia"/>
              </w:rPr>
              <w:t>月开展了监督监测。</w:t>
            </w:r>
          </w:p>
        </w:tc>
        <w:tc>
          <w:tcPr>
            <w:tcW w:w="1418" w:type="dxa"/>
            <w:vMerge/>
          </w:tcPr>
          <w:p w:rsidR="00147FF7" w:rsidRDefault="00147FF7">
            <w:pPr>
              <w:widowControl/>
              <w:jc w:val="left"/>
              <w:rPr>
                <w:rFonts w:ascii="Calibri" w:hAnsi="Calibri"/>
                <w:sz w:val="18"/>
                <w:szCs w:val="18"/>
              </w:rPr>
            </w:pPr>
          </w:p>
        </w:tc>
        <w:tc>
          <w:tcPr>
            <w:tcW w:w="1418" w:type="dxa"/>
            <w:vMerge/>
            <w:vAlign w:val="center"/>
          </w:tcPr>
          <w:p w:rsidR="00147FF7" w:rsidRDefault="00147FF7">
            <w:pPr>
              <w:widowControl/>
              <w:jc w:val="left"/>
              <w:rPr>
                <w:rFonts w:ascii="Calibri" w:hAnsi="Calibri"/>
                <w:sz w:val="18"/>
                <w:szCs w:val="18"/>
              </w:rPr>
            </w:pPr>
          </w:p>
        </w:tc>
      </w:tr>
      <w:tr w:rsidR="00147FF7" w:rsidTr="00C50D7C">
        <w:trPr>
          <w:trHeight w:val="392"/>
        </w:trPr>
        <w:tc>
          <w:tcPr>
            <w:tcW w:w="709" w:type="dxa"/>
            <w:vMerge/>
            <w:vAlign w:val="center"/>
          </w:tcPr>
          <w:p w:rsidR="00147FF7" w:rsidRPr="0059568F" w:rsidRDefault="00147FF7" w:rsidP="0059568F">
            <w:pPr>
              <w:pStyle w:val="10"/>
              <w:ind w:firstLineChars="0" w:firstLine="0"/>
              <w:rPr>
                <w:color w:val="000000"/>
                <w:sz w:val="22"/>
              </w:rPr>
            </w:pPr>
          </w:p>
        </w:tc>
        <w:tc>
          <w:tcPr>
            <w:tcW w:w="851" w:type="dxa"/>
            <w:vMerge/>
            <w:vAlign w:val="center"/>
          </w:tcPr>
          <w:p w:rsidR="00147FF7" w:rsidRPr="0059568F" w:rsidRDefault="00147FF7" w:rsidP="0059568F">
            <w:pPr>
              <w:pStyle w:val="10"/>
              <w:ind w:firstLineChars="0" w:firstLine="0"/>
              <w:rPr>
                <w:color w:val="000000"/>
                <w:sz w:val="22"/>
              </w:rPr>
            </w:pPr>
          </w:p>
        </w:tc>
        <w:tc>
          <w:tcPr>
            <w:tcW w:w="1277" w:type="dxa"/>
            <w:vMerge/>
            <w:vAlign w:val="center"/>
          </w:tcPr>
          <w:p w:rsidR="00147FF7" w:rsidRPr="0059568F" w:rsidRDefault="00147FF7" w:rsidP="0059568F">
            <w:pPr>
              <w:pStyle w:val="10"/>
              <w:ind w:firstLineChars="0" w:firstLine="0"/>
              <w:rPr>
                <w:color w:val="000000"/>
                <w:sz w:val="22"/>
              </w:rPr>
            </w:pPr>
          </w:p>
        </w:tc>
        <w:tc>
          <w:tcPr>
            <w:tcW w:w="5953" w:type="dxa"/>
            <w:vAlign w:val="center"/>
          </w:tcPr>
          <w:p w:rsidR="00147FF7" w:rsidRPr="00E63F5D" w:rsidRDefault="00147FF7" w:rsidP="0059568F">
            <w:pPr>
              <w:pStyle w:val="10"/>
              <w:numPr>
                <w:ilvl w:val="0"/>
                <w:numId w:val="4"/>
              </w:numPr>
              <w:ind w:firstLineChars="0"/>
              <w:rPr>
                <w:color w:val="000000"/>
                <w:sz w:val="22"/>
              </w:rPr>
            </w:pPr>
            <w:r>
              <w:rPr>
                <w:rFonts w:hint="eastAsia"/>
                <w:color w:val="000000"/>
                <w:sz w:val="22"/>
                <w:szCs w:val="22"/>
              </w:rPr>
              <w:t>识别标识不全；</w:t>
            </w:r>
          </w:p>
        </w:tc>
        <w:tc>
          <w:tcPr>
            <w:tcW w:w="3968" w:type="dxa"/>
            <w:vAlign w:val="center"/>
          </w:tcPr>
          <w:p w:rsidR="00147FF7" w:rsidRDefault="00147FF7" w:rsidP="006665E5">
            <w:pPr>
              <w:rPr>
                <w:b/>
                <w:sz w:val="18"/>
                <w:szCs w:val="18"/>
              </w:rPr>
            </w:pPr>
            <w:r>
              <w:t>4</w:t>
            </w:r>
            <w:r>
              <w:rPr>
                <w:rFonts w:hint="eastAsia"/>
              </w:rPr>
              <w:t>、按相关要求完善了识别标识。</w:t>
            </w:r>
          </w:p>
        </w:tc>
        <w:tc>
          <w:tcPr>
            <w:tcW w:w="1418" w:type="dxa"/>
            <w:vMerge/>
          </w:tcPr>
          <w:p w:rsidR="00147FF7" w:rsidRDefault="00147FF7">
            <w:pPr>
              <w:widowControl/>
              <w:jc w:val="left"/>
              <w:rPr>
                <w:rFonts w:ascii="Calibri" w:hAnsi="Calibri"/>
                <w:sz w:val="18"/>
                <w:szCs w:val="18"/>
              </w:rPr>
            </w:pPr>
          </w:p>
        </w:tc>
        <w:tc>
          <w:tcPr>
            <w:tcW w:w="1418" w:type="dxa"/>
            <w:vMerge/>
            <w:vAlign w:val="center"/>
          </w:tcPr>
          <w:p w:rsidR="00147FF7" w:rsidRDefault="00147FF7">
            <w:pPr>
              <w:widowControl/>
              <w:jc w:val="left"/>
              <w:rPr>
                <w:rFonts w:ascii="Calibri" w:hAnsi="Calibri"/>
                <w:sz w:val="18"/>
                <w:szCs w:val="18"/>
              </w:rPr>
            </w:pPr>
          </w:p>
        </w:tc>
      </w:tr>
      <w:tr w:rsidR="00147FF7" w:rsidTr="00C50D7C">
        <w:trPr>
          <w:trHeight w:val="392"/>
        </w:trPr>
        <w:tc>
          <w:tcPr>
            <w:tcW w:w="709" w:type="dxa"/>
            <w:vMerge/>
            <w:vAlign w:val="center"/>
          </w:tcPr>
          <w:p w:rsidR="00147FF7" w:rsidRPr="0059568F" w:rsidRDefault="00147FF7" w:rsidP="0059568F">
            <w:pPr>
              <w:pStyle w:val="10"/>
              <w:ind w:firstLineChars="0" w:firstLine="0"/>
              <w:rPr>
                <w:color w:val="000000"/>
                <w:sz w:val="22"/>
              </w:rPr>
            </w:pPr>
          </w:p>
        </w:tc>
        <w:tc>
          <w:tcPr>
            <w:tcW w:w="851" w:type="dxa"/>
            <w:vMerge/>
            <w:vAlign w:val="center"/>
          </w:tcPr>
          <w:p w:rsidR="00147FF7" w:rsidRPr="0059568F" w:rsidRDefault="00147FF7" w:rsidP="0059568F">
            <w:pPr>
              <w:pStyle w:val="10"/>
              <w:ind w:firstLineChars="0" w:firstLine="0"/>
              <w:rPr>
                <w:color w:val="000000"/>
                <w:sz w:val="22"/>
              </w:rPr>
            </w:pPr>
          </w:p>
        </w:tc>
        <w:tc>
          <w:tcPr>
            <w:tcW w:w="1277" w:type="dxa"/>
            <w:vMerge/>
            <w:vAlign w:val="center"/>
          </w:tcPr>
          <w:p w:rsidR="00147FF7" w:rsidRPr="0059568F" w:rsidRDefault="00147FF7" w:rsidP="0059568F">
            <w:pPr>
              <w:pStyle w:val="10"/>
              <w:ind w:firstLineChars="0" w:firstLine="0"/>
              <w:rPr>
                <w:color w:val="000000"/>
                <w:sz w:val="22"/>
              </w:rPr>
            </w:pPr>
          </w:p>
        </w:tc>
        <w:tc>
          <w:tcPr>
            <w:tcW w:w="5953" w:type="dxa"/>
            <w:vAlign w:val="center"/>
          </w:tcPr>
          <w:p w:rsidR="00147FF7" w:rsidRPr="008B1EC3" w:rsidRDefault="00147FF7" w:rsidP="006665E5">
            <w:pPr>
              <w:pStyle w:val="10"/>
              <w:ind w:firstLineChars="0" w:firstLine="0"/>
              <w:rPr>
                <w:rFonts w:ascii="SimSun"/>
                <w:sz w:val="18"/>
                <w:szCs w:val="18"/>
              </w:rPr>
            </w:pPr>
            <w:r>
              <w:rPr>
                <w:color w:val="000000"/>
                <w:sz w:val="22"/>
                <w:szCs w:val="22"/>
              </w:rPr>
              <w:t>5</w:t>
            </w:r>
            <w:r>
              <w:rPr>
                <w:rFonts w:hint="eastAsia"/>
                <w:color w:val="000000"/>
                <w:sz w:val="22"/>
                <w:szCs w:val="22"/>
              </w:rPr>
              <w:t>、未对所有危废进行入厂分析；</w:t>
            </w:r>
          </w:p>
        </w:tc>
        <w:tc>
          <w:tcPr>
            <w:tcW w:w="3968" w:type="dxa"/>
            <w:vAlign w:val="center"/>
          </w:tcPr>
          <w:p w:rsidR="00147FF7" w:rsidRDefault="00147FF7" w:rsidP="006665E5">
            <w:pPr>
              <w:jc w:val="left"/>
              <w:rPr>
                <w:b/>
                <w:sz w:val="18"/>
                <w:szCs w:val="18"/>
              </w:rPr>
            </w:pPr>
            <w:r>
              <w:rPr>
                <w:color w:val="000000"/>
                <w:sz w:val="22"/>
                <w:szCs w:val="22"/>
              </w:rPr>
              <w:t>5</w:t>
            </w:r>
            <w:r>
              <w:rPr>
                <w:rFonts w:hint="eastAsia"/>
                <w:color w:val="000000"/>
                <w:sz w:val="22"/>
                <w:szCs w:val="22"/>
              </w:rPr>
              <w:t>、建立了危废入厂分析制度，并按要求严格执行入厂分析，并对相关化验人员进行上岗培训，配备相应仪器。</w:t>
            </w:r>
          </w:p>
        </w:tc>
        <w:tc>
          <w:tcPr>
            <w:tcW w:w="1418" w:type="dxa"/>
            <w:vMerge/>
          </w:tcPr>
          <w:p w:rsidR="00147FF7" w:rsidRDefault="00147FF7">
            <w:pPr>
              <w:widowControl/>
              <w:jc w:val="left"/>
              <w:rPr>
                <w:rFonts w:ascii="Calibri" w:hAnsi="Calibri"/>
                <w:sz w:val="18"/>
                <w:szCs w:val="18"/>
              </w:rPr>
            </w:pPr>
          </w:p>
        </w:tc>
        <w:tc>
          <w:tcPr>
            <w:tcW w:w="1418" w:type="dxa"/>
            <w:vMerge/>
            <w:vAlign w:val="center"/>
          </w:tcPr>
          <w:p w:rsidR="00147FF7" w:rsidRDefault="00147FF7">
            <w:pPr>
              <w:widowControl/>
              <w:jc w:val="left"/>
              <w:rPr>
                <w:rFonts w:ascii="Calibri" w:hAnsi="Calibri"/>
                <w:sz w:val="18"/>
                <w:szCs w:val="18"/>
              </w:rPr>
            </w:pPr>
          </w:p>
        </w:tc>
      </w:tr>
      <w:tr w:rsidR="00147FF7" w:rsidTr="00C50D7C">
        <w:trPr>
          <w:trHeight w:val="392"/>
        </w:trPr>
        <w:tc>
          <w:tcPr>
            <w:tcW w:w="709" w:type="dxa"/>
            <w:vMerge/>
            <w:vAlign w:val="center"/>
          </w:tcPr>
          <w:p w:rsidR="00147FF7" w:rsidRPr="0059568F" w:rsidRDefault="00147FF7" w:rsidP="0059568F">
            <w:pPr>
              <w:pStyle w:val="10"/>
              <w:ind w:firstLineChars="0" w:firstLine="0"/>
              <w:rPr>
                <w:color w:val="000000"/>
                <w:sz w:val="22"/>
              </w:rPr>
            </w:pPr>
          </w:p>
        </w:tc>
        <w:tc>
          <w:tcPr>
            <w:tcW w:w="851" w:type="dxa"/>
            <w:vMerge/>
            <w:vAlign w:val="center"/>
          </w:tcPr>
          <w:p w:rsidR="00147FF7" w:rsidRPr="0059568F" w:rsidRDefault="00147FF7" w:rsidP="0059568F">
            <w:pPr>
              <w:pStyle w:val="10"/>
              <w:ind w:firstLineChars="0" w:firstLine="0"/>
              <w:rPr>
                <w:color w:val="000000"/>
                <w:sz w:val="22"/>
              </w:rPr>
            </w:pPr>
          </w:p>
        </w:tc>
        <w:tc>
          <w:tcPr>
            <w:tcW w:w="1277" w:type="dxa"/>
            <w:vMerge/>
            <w:vAlign w:val="center"/>
          </w:tcPr>
          <w:p w:rsidR="00147FF7" w:rsidRPr="0059568F" w:rsidRDefault="00147FF7" w:rsidP="0059568F">
            <w:pPr>
              <w:pStyle w:val="10"/>
              <w:ind w:firstLineChars="0" w:firstLine="0"/>
              <w:rPr>
                <w:color w:val="000000"/>
                <w:sz w:val="22"/>
              </w:rPr>
            </w:pPr>
          </w:p>
        </w:tc>
        <w:tc>
          <w:tcPr>
            <w:tcW w:w="5953" w:type="dxa"/>
            <w:vAlign w:val="center"/>
          </w:tcPr>
          <w:p w:rsidR="00147FF7" w:rsidRPr="00287DCE" w:rsidRDefault="00147FF7" w:rsidP="006665E5">
            <w:pPr>
              <w:pStyle w:val="10"/>
              <w:ind w:firstLineChars="0" w:firstLine="0"/>
              <w:rPr>
                <w:rFonts w:ascii="SimSun"/>
                <w:sz w:val="18"/>
                <w:szCs w:val="18"/>
              </w:rPr>
            </w:pPr>
            <w:r>
              <w:rPr>
                <w:color w:val="000000"/>
                <w:sz w:val="22"/>
                <w:szCs w:val="22"/>
              </w:rPr>
              <w:t>6</w:t>
            </w:r>
            <w:r>
              <w:rPr>
                <w:rFonts w:hint="eastAsia"/>
                <w:color w:val="000000"/>
                <w:sz w:val="22"/>
                <w:szCs w:val="22"/>
              </w:rPr>
              <w:t>、无污染防治设施的运行台帐；</w:t>
            </w:r>
          </w:p>
        </w:tc>
        <w:tc>
          <w:tcPr>
            <w:tcW w:w="3968" w:type="dxa"/>
            <w:vAlign w:val="center"/>
          </w:tcPr>
          <w:p w:rsidR="00147FF7" w:rsidRDefault="00147FF7" w:rsidP="006665E5">
            <w:pPr>
              <w:rPr>
                <w:b/>
                <w:sz w:val="18"/>
                <w:szCs w:val="18"/>
              </w:rPr>
            </w:pPr>
            <w:r>
              <w:rPr>
                <w:color w:val="000000"/>
                <w:sz w:val="22"/>
                <w:szCs w:val="22"/>
              </w:rPr>
              <w:t>6</w:t>
            </w:r>
            <w:r>
              <w:rPr>
                <w:rFonts w:hint="eastAsia"/>
                <w:color w:val="000000"/>
                <w:sz w:val="22"/>
                <w:szCs w:val="22"/>
              </w:rPr>
              <w:t>、按要求已建立污染防治设施运行台帐，例如引风设备运行台帐、清洗工段设备运行台帐、喷漆设备运行台帐等。</w:t>
            </w:r>
          </w:p>
        </w:tc>
        <w:tc>
          <w:tcPr>
            <w:tcW w:w="1418" w:type="dxa"/>
            <w:vMerge/>
          </w:tcPr>
          <w:p w:rsidR="00147FF7" w:rsidRDefault="00147FF7">
            <w:pPr>
              <w:widowControl/>
              <w:jc w:val="left"/>
              <w:rPr>
                <w:rFonts w:ascii="Calibri" w:hAnsi="Calibri"/>
                <w:sz w:val="18"/>
                <w:szCs w:val="18"/>
              </w:rPr>
            </w:pPr>
          </w:p>
        </w:tc>
        <w:tc>
          <w:tcPr>
            <w:tcW w:w="1418" w:type="dxa"/>
            <w:vMerge/>
            <w:vAlign w:val="center"/>
          </w:tcPr>
          <w:p w:rsidR="00147FF7" w:rsidRDefault="00147FF7">
            <w:pPr>
              <w:widowControl/>
              <w:jc w:val="left"/>
              <w:rPr>
                <w:rFonts w:ascii="Calibri" w:hAnsi="Calibri"/>
                <w:sz w:val="18"/>
                <w:szCs w:val="18"/>
              </w:rPr>
            </w:pPr>
          </w:p>
        </w:tc>
      </w:tr>
      <w:tr w:rsidR="00147FF7" w:rsidTr="00C50D7C">
        <w:trPr>
          <w:trHeight w:val="392"/>
        </w:trPr>
        <w:tc>
          <w:tcPr>
            <w:tcW w:w="709" w:type="dxa"/>
            <w:vMerge/>
            <w:vAlign w:val="center"/>
          </w:tcPr>
          <w:p w:rsidR="00147FF7" w:rsidRPr="0059568F" w:rsidRDefault="00147FF7" w:rsidP="0059568F">
            <w:pPr>
              <w:pStyle w:val="10"/>
              <w:ind w:firstLineChars="0" w:firstLine="0"/>
              <w:rPr>
                <w:color w:val="000000"/>
                <w:sz w:val="22"/>
              </w:rPr>
            </w:pPr>
          </w:p>
        </w:tc>
        <w:tc>
          <w:tcPr>
            <w:tcW w:w="851" w:type="dxa"/>
            <w:vMerge/>
            <w:vAlign w:val="center"/>
          </w:tcPr>
          <w:p w:rsidR="00147FF7" w:rsidRPr="0059568F" w:rsidRDefault="00147FF7" w:rsidP="0059568F">
            <w:pPr>
              <w:pStyle w:val="10"/>
              <w:ind w:firstLineChars="0" w:firstLine="0"/>
              <w:rPr>
                <w:color w:val="000000"/>
                <w:sz w:val="22"/>
              </w:rPr>
            </w:pPr>
          </w:p>
        </w:tc>
        <w:tc>
          <w:tcPr>
            <w:tcW w:w="1277" w:type="dxa"/>
            <w:vMerge/>
            <w:vAlign w:val="center"/>
          </w:tcPr>
          <w:p w:rsidR="00147FF7" w:rsidRPr="0059568F" w:rsidRDefault="00147FF7" w:rsidP="0059568F">
            <w:pPr>
              <w:pStyle w:val="10"/>
              <w:ind w:firstLineChars="0" w:firstLine="0"/>
              <w:rPr>
                <w:color w:val="000000"/>
                <w:sz w:val="22"/>
              </w:rPr>
            </w:pPr>
          </w:p>
        </w:tc>
        <w:tc>
          <w:tcPr>
            <w:tcW w:w="5953" w:type="dxa"/>
            <w:vAlign w:val="center"/>
          </w:tcPr>
          <w:p w:rsidR="00147FF7" w:rsidRDefault="00147FF7" w:rsidP="006665E5">
            <w:pPr>
              <w:pStyle w:val="10"/>
              <w:ind w:firstLineChars="0" w:firstLine="0"/>
              <w:rPr>
                <w:color w:val="000000"/>
                <w:sz w:val="22"/>
              </w:rPr>
            </w:pPr>
            <w:r>
              <w:rPr>
                <w:color w:val="000000"/>
                <w:sz w:val="22"/>
                <w:szCs w:val="22"/>
              </w:rPr>
              <w:t>7</w:t>
            </w:r>
            <w:r>
              <w:rPr>
                <w:rFonts w:hint="eastAsia"/>
                <w:color w:val="000000"/>
                <w:sz w:val="22"/>
                <w:szCs w:val="22"/>
              </w:rPr>
              <w:t>、记录簿不全。</w:t>
            </w:r>
          </w:p>
        </w:tc>
        <w:tc>
          <w:tcPr>
            <w:tcW w:w="3968" w:type="dxa"/>
            <w:vAlign w:val="center"/>
          </w:tcPr>
          <w:p w:rsidR="00147FF7" w:rsidRDefault="00147FF7" w:rsidP="006665E5">
            <w:pPr>
              <w:rPr>
                <w:b/>
                <w:sz w:val="18"/>
                <w:szCs w:val="18"/>
              </w:rPr>
            </w:pPr>
            <w:r>
              <w:rPr>
                <w:b/>
                <w:sz w:val="18"/>
                <w:szCs w:val="18"/>
              </w:rPr>
              <w:t>7</w:t>
            </w:r>
            <w:r w:rsidRPr="009E3E5C">
              <w:rPr>
                <w:rFonts w:hint="eastAsia"/>
                <w:color w:val="000000"/>
                <w:sz w:val="22"/>
                <w:szCs w:val="22"/>
              </w:rPr>
              <w:t>、针对相关工段已增加相对应的记录簿及台帐。</w:t>
            </w:r>
          </w:p>
        </w:tc>
        <w:tc>
          <w:tcPr>
            <w:tcW w:w="1418" w:type="dxa"/>
            <w:vMerge/>
          </w:tcPr>
          <w:p w:rsidR="00147FF7" w:rsidRDefault="00147FF7">
            <w:pPr>
              <w:widowControl/>
              <w:jc w:val="left"/>
              <w:rPr>
                <w:rFonts w:ascii="Calibri" w:hAnsi="Calibri"/>
                <w:sz w:val="18"/>
                <w:szCs w:val="18"/>
              </w:rPr>
            </w:pPr>
          </w:p>
        </w:tc>
        <w:tc>
          <w:tcPr>
            <w:tcW w:w="1418" w:type="dxa"/>
            <w:vMerge/>
            <w:vAlign w:val="center"/>
          </w:tcPr>
          <w:p w:rsidR="00147FF7" w:rsidRDefault="00147FF7">
            <w:pPr>
              <w:widowControl/>
              <w:jc w:val="left"/>
              <w:rPr>
                <w:rFonts w:ascii="Calibri" w:hAnsi="Calibri"/>
                <w:sz w:val="18"/>
                <w:szCs w:val="18"/>
              </w:rPr>
            </w:pPr>
          </w:p>
        </w:tc>
      </w:tr>
      <w:tr w:rsidR="00147FF7" w:rsidTr="00BE2586">
        <w:trPr>
          <w:trHeight w:val="392"/>
        </w:trPr>
        <w:tc>
          <w:tcPr>
            <w:tcW w:w="709" w:type="dxa"/>
            <w:vAlign w:val="center"/>
          </w:tcPr>
          <w:p w:rsidR="00147FF7" w:rsidRPr="0059568F" w:rsidRDefault="00147FF7" w:rsidP="0059568F">
            <w:pPr>
              <w:pStyle w:val="10"/>
              <w:ind w:firstLineChars="0" w:firstLine="0"/>
              <w:rPr>
                <w:color w:val="000000"/>
                <w:sz w:val="22"/>
              </w:rPr>
            </w:pPr>
            <w:r w:rsidRPr="0059568F">
              <w:rPr>
                <w:color w:val="000000"/>
                <w:sz w:val="22"/>
                <w:szCs w:val="22"/>
              </w:rPr>
              <w:t>2</w:t>
            </w:r>
          </w:p>
        </w:tc>
        <w:tc>
          <w:tcPr>
            <w:tcW w:w="851" w:type="dxa"/>
            <w:vAlign w:val="center"/>
          </w:tcPr>
          <w:p w:rsidR="00147FF7" w:rsidRPr="0059568F" w:rsidRDefault="00147FF7" w:rsidP="0059568F">
            <w:pPr>
              <w:pStyle w:val="10"/>
              <w:ind w:firstLineChars="0" w:firstLine="0"/>
              <w:rPr>
                <w:color w:val="000000"/>
                <w:sz w:val="22"/>
              </w:rPr>
            </w:pPr>
            <w:r w:rsidRPr="0059568F">
              <w:rPr>
                <w:rFonts w:hint="eastAsia"/>
                <w:color w:val="000000"/>
                <w:sz w:val="22"/>
                <w:szCs w:val="22"/>
              </w:rPr>
              <w:t>溧阳市</w:t>
            </w:r>
          </w:p>
        </w:tc>
        <w:tc>
          <w:tcPr>
            <w:tcW w:w="1277" w:type="dxa"/>
            <w:vAlign w:val="center"/>
          </w:tcPr>
          <w:p w:rsidR="00147FF7" w:rsidRPr="0059568F" w:rsidRDefault="00147FF7" w:rsidP="0059568F">
            <w:pPr>
              <w:pStyle w:val="10"/>
              <w:ind w:firstLineChars="0" w:firstLine="0"/>
              <w:rPr>
                <w:color w:val="000000"/>
                <w:sz w:val="22"/>
              </w:rPr>
            </w:pPr>
            <w:r w:rsidRPr="0059568F">
              <w:rPr>
                <w:rFonts w:hint="eastAsia"/>
                <w:color w:val="000000"/>
                <w:sz w:val="22"/>
                <w:szCs w:val="22"/>
              </w:rPr>
              <w:t>朗盛（溧阳）多元醇有限公司</w:t>
            </w:r>
          </w:p>
        </w:tc>
        <w:tc>
          <w:tcPr>
            <w:tcW w:w="5953" w:type="dxa"/>
            <w:vAlign w:val="center"/>
          </w:tcPr>
          <w:p w:rsidR="00147FF7" w:rsidRPr="0059568F" w:rsidRDefault="00147FF7" w:rsidP="006665E5">
            <w:pPr>
              <w:pStyle w:val="10"/>
              <w:ind w:firstLineChars="0" w:firstLine="0"/>
              <w:rPr>
                <w:rFonts w:ascii="Times New Roman" w:hAnsi="Times New Roman"/>
                <w:color w:val="000000"/>
                <w:sz w:val="22"/>
              </w:rPr>
            </w:pPr>
            <w:r w:rsidRPr="0059568F">
              <w:rPr>
                <w:rFonts w:ascii="Times New Roman" w:hAnsi="Times New Roman"/>
                <w:color w:val="000000"/>
                <w:sz w:val="22"/>
                <w:szCs w:val="22"/>
              </w:rPr>
              <w:t>1</w:t>
            </w:r>
            <w:r w:rsidRPr="0059568F">
              <w:rPr>
                <w:rFonts w:ascii="Times New Roman" w:hAnsi="Times New Roman" w:hint="eastAsia"/>
                <w:color w:val="000000"/>
                <w:sz w:val="22"/>
                <w:szCs w:val="22"/>
              </w:rPr>
              <w:t>、贮存场所地面硬化及防渗处理不完善。</w:t>
            </w:r>
          </w:p>
        </w:tc>
        <w:tc>
          <w:tcPr>
            <w:tcW w:w="3968" w:type="dxa"/>
            <w:vAlign w:val="center"/>
          </w:tcPr>
          <w:p w:rsidR="00147FF7" w:rsidRPr="00104F1A" w:rsidRDefault="00147FF7" w:rsidP="006665E5">
            <w:pPr>
              <w:jc w:val="center"/>
              <w:rPr>
                <w:sz w:val="18"/>
                <w:szCs w:val="18"/>
              </w:rPr>
            </w:pPr>
            <w:r>
              <w:rPr>
                <w:rFonts w:hint="eastAsia"/>
                <w:color w:val="000000"/>
                <w:sz w:val="22"/>
                <w:szCs w:val="22"/>
              </w:rPr>
              <w:t>已</w:t>
            </w:r>
            <w:r w:rsidRPr="0059568F">
              <w:rPr>
                <w:rFonts w:hint="eastAsia"/>
                <w:color w:val="000000"/>
                <w:sz w:val="22"/>
                <w:szCs w:val="22"/>
              </w:rPr>
              <w:t>对危废及一般工业固废贮存场所用环氧树脂进行防渗、防腐处理。</w:t>
            </w:r>
          </w:p>
        </w:tc>
        <w:tc>
          <w:tcPr>
            <w:tcW w:w="1418" w:type="dxa"/>
          </w:tcPr>
          <w:p w:rsidR="00147FF7" w:rsidRDefault="00147FF7">
            <w:pPr>
              <w:widowControl/>
              <w:jc w:val="left"/>
              <w:rPr>
                <w:rFonts w:ascii="Calibri" w:hAnsi="Calibri"/>
                <w:sz w:val="18"/>
                <w:szCs w:val="18"/>
              </w:rPr>
            </w:pPr>
          </w:p>
        </w:tc>
        <w:tc>
          <w:tcPr>
            <w:tcW w:w="1418" w:type="dxa"/>
            <w:vAlign w:val="center"/>
          </w:tcPr>
          <w:p w:rsidR="00147FF7" w:rsidRDefault="00147FF7">
            <w:pPr>
              <w:widowControl/>
              <w:jc w:val="left"/>
              <w:rPr>
                <w:rFonts w:ascii="Calibri" w:hAnsi="Calibri"/>
                <w:sz w:val="18"/>
                <w:szCs w:val="18"/>
              </w:rPr>
            </w:pPr>
            <w:r>
              <w:rPr>
                <w:rFonts w:ascii="Calibri" w:hAnsi="Calibri" w:hint="eastAsia"/>
                <w:sz w:val="18"/>
                <w:szCs w:val="18"/>
              </w:rPr>
              <w:t>已公示在溧阳市政府网站上</w:t>
            </w:r>
          </w:p>
        </w:tc>
      </w:tr>
    </w:tbl>
    <w:p w:rsidR="00147FF7" w:rsidRDefault="00147FF7"/>
    <w:sectPr w:rsidR="00147FF7" w:rsidSect="007143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FF7" w:rsidRDefault="00147FF7" w:rsidP="0049636E">
      <w:r>
        <w:separator/>
      </w:r>
    </w:p>
  </w:endnote>
  <w:endnote w:type="continuationSeparator" w:id="0">
    <w:p w:rsidR="00147FF7" w:rsidRDefault="00147FF7" w:rsidP="00496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方正小标宋_GBK">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FangSong_GB2312">
    <w:altName w:val="??è???"/>
    <w:panose1 w:val="02010609060101010101"/>
    <w:charset w:val="86"/>
    <w:family w:val="modern"/>
    <w:pitch w:val="fixed"/>
    <w:sig w:usb0="800002BF" w:usb1="38CF7CFA" w:usb2="00000016" w:usb3="00000000" w:csb0="00040001"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FF7" w:rsidRDefault="00147FF7" w:rsidP="0049636E">
      <w:r>
        <w:separator/>
      </w:r>
    </w:p>
  </w:footnote>
  <w:footnote w:type="continuationSeparator" w:id="0">
    <w:p w:rsidR="00147FF7" w:rsidRDefault="00147FF7" w:rsidP="00496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C7BDE"/>
    <w:multiLevelType w:val="hybridMultilevel"/>
    <w:tmpl w:val="24262B34"/>
    <w:lvl w:ilvl="0" w:tplc="DFDA576A">
      <w:numFmt w:val="none"/>
      <w:lvlText w:val=""/>
      <w:lvlJc w:val="left"/>
      <w:pPr>
        <w:tabs>
          <w:tab w:val="num" w:pos="360"/>
        </w:tabs>
      </w:pPr>
      <w:rPr>
        <w:rFonts w:cs="Times New Roman"/>
      </w:rPr>
    </w:lvl>
    <w:lvl w:ilvl="1" w:tplc="F5C422FE" w:tentative="1">
      <w:start w:val="1"/>
      <w:numFmt w:val="lowerLetter"/>
      <w:lvlText w:val="%2)"/>
      <w:lvlJc w:val="left"/>
      <w:pPr>
        <w:tabs>
          <w:tab w:val="num" w:pos="840"/>
        </w:tabs>
        <w:ind w:left="840" w:hanging="420"/>
      </w:pPr>
      <w:rPr>
        <w:rFonts w:cs="Times New Roman"/>
      </w:rPr>
    </w:lvl>
    <w:lvl w:ilvl="2" w:tplc="C46622AE" w:tentative="1">
      <w:start w:val="1"/>
      <w:numFmt w:val="lowerRoman"/>
      <w:lvlText w:val="%3."/>
      <w:lvlJc w:val="right"/>
      <w:pPr>
        <w:tabs>
          <w:tab w:val="num" w:pos="1260"/>
        </w:tabs>
        <w:ind w:left="1260" w:hanging="420"/>
      </w:pPr>
      <w:rPr>
        <w:rFonts w:cs="Times New Roman"/>
      </w:rPr>
    </w:lvl>
    <w:lvl w:ilvl="3" w:tplc="F3104B4C" w:tentative="1">
      <w:start w:val="1"/>
      <w:numFmt w:val="decimal"/>
      <w:lvlText w:val="%4."/>
      <w:lvlJc w:val="left"/>
      <w:pPr>
        <w:tabs>
          <w:tab w:val="num" w:pos="1680"/>
        </w:tabs>
        <w:ind w:left="1680" w:hanging="420"/>
      </w:pPr>
      <w:rPr>
        <w:rFonts w:cs="Times New Roman"/>
      </w:rPr>
    </w:lvl>
    <w:lvl w:ilvl="4" w:tplc="03400B48" w:tentative="1">
      <w:start w:val="1"/>
      <w:numFmt w:val="lowerLetter"/>
      <w:lvlText w:val="%5)"/>
      <w:lvlJc w:val="left"/>
      <w:pPr>
        <w:tabs>
          <w:tab w:val="num" w:pos="2100"/>
        </w:tabs>
        <w:ind w:left="2100" w:hanging="420"/>
      </w:pPr>
      <w:rPr>
        <w:rFonts w:cs="Times New Roman"/>
      </w:rPr>
    </w:lvl>
    <w:lvl w:ilvl="5" w:tplc="346435B8" w:tentative="1">
      <w:start w:val="1"/>
      <w:numFmt w:val="lowerRoman"/>
      <w:lvlText w:val="%6."/>
      <w:lvlJc w:val="right"/>
      <w:pPr>
        <w:tabs>
          <w:tab w:val="num" w:pos="2520"/>
        </w:tabs>
        <w:ind w:left="2520" w:hanging="420"/>
      </w:pPr>
      <w:rPr>
        <w:rFonts w:cs="Times New Roman"/>
      </w:rPr>
    </w:lvl>
    <w:lvl w:ilvl="6" w:tplc="66C02A34" w:tentative="1">
      <w:start w:val="1"/>
      <w:numFmt w:val="decimal"/>
      <w:lvlText w:val="%7."/>
      <w:lvlJc w:val="left"/>
      <w:pPr>
        <w:tabs>
          <w:tab w:val="num" w:pos="2940"/>
        </w:tabs>
        <w:ind w:left="2940" w:hanging="420"/>
      </w:pPr>
      <w:rPr>
        <w:rFonts w:cs="Times New Roman"/>
      </w:rPr>
    </w:lvl>
    <w:lvl w:ilvl="7" w:tplc="81BEE0DC" w:tentative="1">
      <w:start w:val="1"/>
      <w:numFmt w:val="lowerLetter"/>
      <w:lvlText w:val="%8)"/>
      <w:lvlJc w:val="left"/>
      <w:pPr>
        <w:tabs>
          <w:tab w:val="num" w:pos="3360"/>
        </w:tabs>
        <w:ind w:left="3360" w:hanging="420"/>
      </w:pPr>
      <w:rPr>
        <w:rFonts w:cs="Times New Roman"/>
      </w:rPr>
    </w:lvl>
    <w:lvl w:ilvl="8" w:tplc="F872B5E0" w:tentative="1">
      <w:start w:val="1"/>
      <w:numFmt w:val="lowerRoman"/>
      <w:lvlText w:val="%9."/>
      <w:lvlJc w:val="right"/>
      <w:pPr>
        <w:tabs>
          <w:tab w:val="num" w:pos="3780"/>
        </w:tabs>
        <w:ind w:left="3780" w:hanging="420"/>
      </w:pPr>
      <w:rPr>
        <w:rFonts w:cs="Times New Roman"/>
      </w:rPr>
    </w:lvl>
  </w:abstractNum>
  <w:abstractNum w:abstractNumId="1">
    <w:nsid w:val="58C1F964"/>
    <w:multiLevelType w:val="singleLevel"/>
    <w:tmpl w:val="D3145D5E"/>
    <w:lvl w:ilvl="0">
      <w:numFmt w:val="none"/>
      <w:lvlText w:val=""/>
      <w:lvlJc w:val="left"/>
      <w:pPr>
        <w:tabs>
          <w:tab w:val="num" w:pos="360"/>
        </w:tabs>
      </w:pPr>
      <w:rPr>
        <w:rFonts w:cs="Times New Roman"/>
      </w:rPr>
    </w:lvl>
  </w:abstractNum>
  <w:abstractNum w:abstractNumId="2">
    <w:nsid w:val="58C1FEE7"/>
    <w:multiLevelType w:val="singleLevel"/>
    <w:tmpl w:val="CBCA932E"/>
    <w:lvl w:ilvl="0">
      <w:numFmt w:val="none"/>
      <w:lvlText w:val=""/>
      <w:lvlJc w:val="left"/>
      <w:pPr>
        <w:tabs>
          <w:tab w:val="num" w:pos="360"/>
        </w:tabs>
      </w:pPr>
      <w:rPr>
        <w:rFonts w:cs="Times New Roman"/>
      </w:rPr>
    </w:lvl>
  </w:abstractNum>
  <w:abstractNum w:abstractNumId="3">
    <w:nsid w:val="5B047F56"/>
    <w:multiLevelType w:val="hybridMultilevel"/>
    <w:tmpl w:val="F06C0A50"/>
    <w:lvl w:ilvl="0" w:tplc="DC0A1536">
      <w:numFmt w:val="none"/>
      <w:lvlText w:val=""/>
      <w:lvlJc w:val="left"/>
      <w:pPr>
        <w:tabs>
          <w:tab w:val="num" w:pos="360"/>
        </w:tabs>
      </w:pPr>
      <w:rPr>
        <w:rFonts w:cs="Times New Roman"/>
      </w:rPr>
    </w:lvl>
    <w:lvl w:ilvl="1" w:tplc="1FC2C128" w:tentative="1">
      <w:start w:val="1"/>
      <w:numFmt w:val="lowerLetter"/>
      <w:lvlText w:val="%2)"/>
      <w:lvlJc w:val="left"/>
      <w:pPr>
        <w:tabs>
          <w:tab w:val="num" w:pos="840"/>
        </w:tabs>
        <w:ind w:left="840" w:hanging="420"/>
      </w:pPr>
      <w:rPr>
        <w:rFonts w:cs="Times New Roman"/>
      </w:rPr>
    </w:lvl>
    <w:lvl w:ilvl="2" w:tplc="B80ADEEA" w:tentative="1">
      <w:start w:val="1"/>
      <w:numFmt w:val="lowerRoman"/>
      <w:lvlText w:val="%3."/>
      <w:lvlJc w:val="right"/>
      <w:pPr>
        <w:tabs>
          <w:tab w:val="num" w:pos="1260"/>
        </w:tabs>
        <w:ind w:left="1260" w:hanging="420"/>
      </w:pPr>
      <w:rPr>
        <w:rFonts w:cs="Times New Roman"/>
      </w:rPr>
    </w:lvl>
    <w:lvl w:ilvl="3" w:tplc="4866FCD4" w:tentative="1">
      <w:start w:val="1"/>
      <w:numFmt w:val="decimal"/>
      <w:lvlText w:val="%4."/>
      <w:lvlJc w:val="left"/>
      <w:pPr>
        <w:tabs>
          <w:tab w:val="num" w:pos="1680"/>
        </w:tabs>
        <w:ind w:left="1680" w:hanging="420"/>
      </w:pPr>
      <w:rPr>
        <w:rFonts w:cs="Times New Roman"/>
      </w:rPr>
    </w:lvl>
    <w:lvl w:ilvl="4" w:tplc="1B38B76E" w:tentative="1">
      <w:start w:val="1"/>
      <w:numFmt w:val="lowerLetter"/>
      <w:lvlText w:val="%5)"/>
      <w:lvlJc w:val="left"/>
      <w:pPr>
        <w:tabs>
          <w:tab w:val="num" w:pos="2100"/>
        </w:tabs>
        <w:ind w:left="2100" w:hanging="420"/>
      </w:pPr>
      <w:rPr>
        <w:rFonts w:cs="Times New Roman"/>
      </w:rPr>
    </w:lvl>
    <w:lvl w:ilvl="5" w:tplc="69BCC994" w:tentative="1">
      <w:start w:val="1"/>
      <w:numFmt w:val="lowerRoman"/>
      <w:lvlText w:val="%6."/>
      <w:lvlJc w:val="right"/>
      <w:pPr>
        <w:tabs>
          <w:tab w:val="num" w:pos="2520"/>
        </w:tabs>
        <w:ind w:left="2520" w:hanging="420"/>
      </w:pPr>
      <w:rPr>
        <w:rFonts w:cs="Times New Roman"/>
      </w:rPr>
    </w:lvl>
    <w:lvl w:ilvl="6" w:tplc="C29425DC" w:tentative="1">
      <w:start w:val="1"/>
      <w:numFmt w:val="decimal"/>
      <w:lvlText w:val="%7."/>
      <w:lvlJc w:val="left"/>
      <w:pPr>
        <w:tabs>
          <w:tab w:val="num" w:pos="2940"/>
        </w:tabs>
        <w:ind w:left="2940" w:hanging="420"/>
      </w:pPr>
      <w:rPr>
        <w:rFonts w:cs="Times New Roman"/>
      </w:rPr>
    </w:lvl>
    <w:lvl w:ilvl="7" w:tplc="B3485C6E" w:tentative="1">
      <w:start w:val="1"/>
      <w:numFmt w:val="lowerLetter"/>
      <w:lvlText w:val="%8)"/>
      <w:lvlJc w:val="left"/>
      <w:pPr>
        <w:tabs>
          <w:tab w:val="num" w:pos="3360"/>
        </w:tabs>
        <w:ind w:left="3360" w:hanging="420"/>
      </w:pPr>
      <w:rPr>
        <w:rFonts w:cs="Times New Roman"/>
      </w:rPr>
    </w:lvl>
    <w:lvl w:ilvl="8" w:tplc="5CA827A6" w:tentative="1">
      <w:start w:val="1"/>
      <w:numFmt w:val="lowerRoman"/>
      <w:lvlText w:val="%9."/>
      <w:lvlJc w:val="right"/>
      <w:pPr>
        <w:tabs>
          <w:tab w:val="num" w:pos="3780"/>
        </w:tabs>
        <w:ind w:left="3780" w:hanging="420"/>
      </w:pPr>
      <w:rPr>
        <w:rFonts w:cs="Times New Roman"/>
      </w:rPr>
    </w:lvl>
  </w:abstractNum>
  <w:num w:numId="1">
    <w:abstractNumId w:val="1"/>
    <w:lvlOverride w:ilvl="0">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C8B"/>
    <w:rsid w:val="000B0FBC"/>
    <w:rsid w:val="000D326F"/>
    <w:rsid w:val="000F5B01"/>
    <w:rsid w:val="00104F1A"/>
    <w:rsid w:val="00147FF7"/>
    <w:rsid w:val="001513A2"/>
    <w:rsid w:val="00165A73"/>
    <w:rsid w:val="00184CF8"/>
    <w:rsid w:val="00191B82"/>
    <w:rsid w:val="001C6DD4"/>
    <w:rsid w:val="00210FE0"/>
    <w:rsid w:val="0028200C"/>
    <w:rsid w:val="00287DCE"/>
    <w:rsid w:val="00295D5B"/>
    <w:rsid w:val="002F617C"/>
    <w:rsid w:val="00305727"/>
    <w:rsid w:val="0030731C"/>
    <w:rsid w:val="00310934"/>
    <w:rsid w:val="003C673A"/>
    <w:rsid w:val="0049636E"/>
    <w:rsid w:val="005165E5"/>
    <w:rsid w:val="005273E2"/>
    <w:rsid w:val="005330A8"/>
    <w:rsid w:val="005450C7"/>
    <w:rsid w:val="00557F3F"/>
    <w:rsid w:val="0058388E"/>
    <w:rsid w:val="0059568F"/>
    <w:rsid w:val="005C24A7"/>
    <w:rsid w:val="005C70D3"/>
    <w:rsid w:val="005F78D7"/>
    <w:rsid w:val="00600063"/>
    <w:rsid w:val="006617B3"/>
    <w:rsid w:val="006665E5"/>
    <w:rsid w:val="006E468D"/>
    <w:rsid w:val="00714314"/>
    <w:rsid w:val="007A71F3"/>
    <w:rsid w:val="007B5909"/>
    <w:rsid w:val="008065D9"/>
    <w:rsid w:val="008B1EC3"/>
    <w:rsid w:val="008F75EF"/>
    <w:rsid w:val="008F7E35"/>
    <w:rsid w:val="0093191D"/>
    <w:rsid w:val="00960668"/>
    <w:rsid w:val="00967914"/>
    <w:rsid w:val="009E3E5C"/>
    <w:rsid w:val="009F03CA"/>
    <w:rsid w:val="00A22D6F"/>
    <w:rsid w:val="00A41D84"/>
    <w:rsid w:val="00AB7F01"/>
    <w:rsid w:val="00AC2703"/>
    <w:rsid w:val="00B605E6"/>
    <w:rsid w:val="00B75584"/>
    <w:rsid w:val="00BB0B7C"/>
    <w:rsid w:val="00BB6976"/>
    <w:rsid w:val="00BC1D83"/>
    <w:rsid w:val="00BE2586"/>
    <w:rsid w:val="00BF636C"/>
    <w:rsid w:val="00C1018D"/>
    <w:rsid w:val="00C41EA9"/>
    <w:rsid w:val="00C46C1D"/>
    <w:rsid w:val="00C50D7C"/>
    <w:rsid w:val="00CB358F"/>
    <w:rsid w:val="00CD62C1"/>
    <w:rsid w:val="00D12B02"/>
    <w:rsid w:val="00E00731"/>
    <w:rsid w:val="00E63F5D"/>
    <w:rsid w:val="00E66970"/>
    <w:rsid w:val="00E70C8B"/>
    <w:rsid w:val="00EC719E"/>
    <w:rsid w:val="00EF43DA"/>
    <w:rsid w:val="00F23E5B"/>
    <w:rsid w:val="00F2604C"/>
    <w:rsid w:val="00F45CE5"/>
    <w:rsid w:val="00F636B5"/>
    <w:rsid w:val="00F8054D"/>
    <w:rsid w:val="00F93D6D"/>
    <w:rsid w:val="00FD4A07"/>
    <w:rsid w:val="068C4D6E"/>
    <w:rsid w:val="0A1A3D30"/>
    <w:rsid w:val="0E8C759B"/>
    <w:rsid w:val="17CF0ED7"/>
    <w:rsid w:val="1D9130EC"/>
    <w:rsid w:val="25DB0BC8"/>
    <w:rsid w:val="2AA11372"/>
    <w:rsid w:val="3BA36127"/>
    <w:rsid w:val="3EAA0314"/>
    <w:rsid w:val="3F3504DB"/>
    <w:rsid w:val="4B2D29BB"/>
    <w:rsid w:val="4B8D3C19"/>
    <w:rsid w:val="4C9919D4"/>
    <w:rsid w:val="5D6E4FE9"/>
    <w:rsid w:val="62A74778"/>
    <w:rsid w:val="72A9405E"/>
    <w:rsid w:val="749B2783"/>
    <w:rsid w:val="7ADB21A4"/>
    <w:rsid w:val="7CF47D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70"/>
    <w:pPr>
      <w:widowControl w:val="0"/>
      <w:jc w:val="both"/>
    </w:pPr>
    <w:rPr>
      <w:kern w:val="2"/>
      <w:sz w:val="2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143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14314"/>
    <w:rPr>
      <w:rFonts w:cs="Times New Roman"/>
      <w:sz w:val="18"/>
      <w:szCs w:val="18"/>
    </w:rPr>
  </w:style>
  <w:style w:type="paragraph" w:styleId="Header">
    <w:name w:val="header"/>
    <w:basedOn w:val="Normal"/>
    <w:link w:val="HeaderChar"/>
    <w:uiPriority w:val="99"/>
    <w:semiHidden/>
    <w:rsid w:val="007143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14314"/>
    <w:rPr>
      <w:rFonts w:cs="Times New Roman"/>
      <w:sz w:val="18"/>
      <w:szCs w:val="18"/>
    </w:rPr>
  </w:style>
  <w:style w:type="character" w:styleId="Hyperlink">
    <w:name w:val="Hyperlink"/>
    <w:basedOn w:val="DefaultParagraphFont"/>
    <w:uiPriority w:val="99"/>
    <w:rsid w:val="00714314"/>
    <w:rPr>
      <w:rFonts w:cs="Times New Roman"/>
      <w:color w:val="0000FF"/>
      <w:u w:val="single"/>
    </w:rPr>
  </w:style>
  <w:style w:type="paragraph" w:customStyle="1" w:styleId="1">
    <w:name w:val="标题1"/>
    <w:basedOn w:val="Normal"/>
    <w:next w:val="Normal"/>
    <w:uiPriority w:val="99"/>
    <w:rsid w:val="00714314"/>
    <w:pPr>
      <w:tabs>
        <w:tab w:val="left" w:pos="9193"/>
        <w:tab w:val="left" w:pos="9827"/>
      </w:tabs>
      <w:autoSpaceDE w:val="0"/>
      <w:autoSpaceDN w:val="0"/>
      <w:snapToGrid w:val="0"/>
      <w:spacing w:line="700" w:lineRule="atLeast"/>
      <w:jc w:val="center"/>
    </w:pPr>
    <w:rPr>
      <w:rFonts w:eastAsia="方正小标宋_GBK"/>
      <w:sz w:val="44"/>
      <w:szCs w:val="20"/>
    </w:rPr>
  </w:style>
  <w:style w:type="paragraph" w:customStyle="1" w:styleId="10">
    <w:name w:val="列出段落1"/>
    <w:basedOn w:val="Normal"/>
    <w:uiPriority w:val="99"/>
    <w:rsid w:val="00714314"/>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349141171">
      <w:marLeft w:val="0"/>
      <w:marRight w:val="0"/>
      <w:marTop w:val="0"/>
      <w:marBottom w:val="0"/>
      <w:divBdr>
        <w:top w:val="none" w:sz="0" w:space="0" w:color="auto"/>
        <w:left w:val="none" w:sz="0" w:space="0" w:color="auto"/>
        <w:bottom w:val="none" w:sz="0" w:space="0" w:color="auto"/>
        <w:right w:val="none" w:sz="0" w:space="0" w:color="auto"/>
      </w:divBdr>
      <w:divsChild>
        <w:div w:id="349141173">
          <w:marLeft w:val="0"/>
          <w:marRight w:val="0"/>
          <w:marTop w:val="0"/>
          <w:marBottom w:val="0"/>
          <w:divBdr>
            <w:top w:val="none" w:sz="0" w:space="0" w:color="auto"/>
            <w:left w:val="none" w:sz="0" w:space="0" w:color="auto"/>
            <w:bottom w:val="none" w:sz="0" w:space="0" w:color="auto"/>
            <w:right w:val="none" w:sz="0" w:space="0" w:color="auto"/>
          </w:divBdr>
        </w:div>
      </w:divsChild>
    </w:div>
    <w:div w:id="349141172">
      <w:marLeft w:val="0"/>
      <w:marRight w:val="0"/>
      <w:marTop w:val="0"/>
      <w:marBottom w:val="0"/>
      <w:divBdr>
        <w:top w:val="none" w:sz="0" w:space="0" w:color="auto"/>
        <w:left w:val="none" w:sz="0" w:space="0" w:color="auto"/>
        <w:bottom w:val="none" w:sz="0" w:space="0" w:color="auto"/>
        <w:right w:val="none" w:sz="0" w:space="0" w:color="auto"/>
      </w:divBdr>
      <w:divsChild>
        <w:div w:id="349141181">
          <w:marLeft w:val="0"/>
          <w:marRight w:val="0"/>
          <w:marTop w:val="0"/>
          <w:marBottom w:val="0"/>
          <w:divBdr>
            <w:top w:val="none" w:sz="0" w:space="0" w:color="auto"/>
            <w:left w:val="none" w:sz="0" w:space="0" w:color="auto"/>
            <w:bottom w:val="none" w:sz="0" w:space="0" w:color="auto"/>
            <w:right w:val="none" w:sz="0" w:space="0" w:color="auto"/>
          </w:divBdr>
        </w:div>
      </w:divsChild>
    </w:div>
    <w:div w:id="349141175">
      <w:marLeft w:val="0"/>
      <w:marRight w:val="0"/>
      <w:marTop w:val="0"/>
      <w:marBottom w:val="0"/>
      <w:divBdr>
        <w:top w:val="none" w:sz="0" w:space="0" w:color="auto"/>
        <w:left w:val="none" w:sz="0" w:space="0" w:color="auto"/>
        <w:bottom w:val="none" w:sz="0" w:space="0" w:color="auto"/>
        <w:right w:val="none" w:sz="0" w:space="0" w:color="auto"/>
      </w:divBdr>
      <w:divsChild>
        <w:div w:id="349141180">
          <w:marLeft w:val="0"/>
          <w:marRight w:val="0"/>
          <w:marTop w:val="0"/>
          <w:marBottom w:val="0"/>
          <w:divBdr>
            <w:top w:val="none" w:sz="0" w:space="0" w:color="auto"/>
            <w:left w:val="none" w:sz="0" w:space="0" w:color="auto"/>
            <w:bottom w:val="none" w:sz="0" w:space="0" w:color="auto"/>
            <w:right w:val="none" w:sz="0" w:space="0" w:color="auto"/>
          </w:divBdr>
        </w:div>
      </w:divsChild>
    </w:div>
    <w:div w:id="349141176">
      <w:marLeft w:val="0"/>
      <w:marRight w:val="0"/>
      <w:marTop w:val="0"/>
      <w:marBottom w:val="0"/>
      <w:divBdr>
        <w:top w:val="none" w:sz="0" w:space="0" w:color="auto"/>
        <w:left w:val="none" w:sz="0" w:space="0" w:color="auto"/>
        <w:bottom w:val="none" w:sz="0" w:space="0" w:color="auto"/>
        <w:right w:val="none" w:sz="0" w:space="0" w:color="auto"/>
      </w:divBdr>
      <w:divsChild>
        <w:div w:id="349141174">
          <w:marLeft w:val="0"/>
          <w:marRight w:val="0"/>
          <w:marTop w:val="0"/>
          <w:marBottom w:val="0"/>
          <w:divBdr>
            <w:top w:val="none" w:sz="0" w:space="0" w:color="auto"/>
            <w:left w:val="none" w:sz="0" w:space="0" w:color="auto"/>
            <w:bottom w:val="none" w:sz="0" w:space="0" w:color="auto"/>
            <w:right w:val="none" w:sz="0" w:space="0" w:color="auto"/>
          </w:divBdr>
        </w:div>
      </w:divsChild>
    </w:div>
    <w:div w:id="349141178">
      <w:marLeft w:val="0"/>
      <w:marRight w:val="0"/>
      <w:marTop w:val="0"/>
      <w:marBottom w:val="0"/>
      <w:divBdr>
        <w:top w:val="none" w:sz="0" w:space="0" w:color="auto"/>
        <w:left w:val="none" w:sz="0" w:space="0" w:color="auto"/>
        <w:bottom w:val="none" w:sz="0" w:space="0" w:color="auto"/>
        <w:right w:val="none" w:sz="0" w:space="0" w:color="auto"/>
      </w:divBdr>
      <w:divsChild>
        <w:div w:id="349141177">
          <w:marLeft w:val="0"/>
          <w:marRight w:val="0"/>
          <w:marTop w:val="0"/>
          <w:marBottom w:val="0"/>
          <w:divBdr>
            <w:top w:val="none" w:sz="0" w:space="0" w:color="auto"/>
            <w:left w:val="none" w:sz="0" w:space="0" w:color="auto"/>
            <w:bottom w:val="none" w:sz="0" w:space="0" w:color="auto"/>
            <w:right w:val="none" w:sz="0" w:space="0" w:color="auto"/>
          </w:divBdr>
        </w:div>
      </w:divsChild>
    </w:div>
    <w:div w:id="349141179">
      <w:marLeft w:val="0"/>
      <w:marRight w:val="0"/>
      <w:marTop w:val="0"/>
      <w:marBottom w:val="0"/>
      <w:divBdr>
        <w:top w:val="none" w:sz="0" w:space="0" w:color="auto"/>
        <w:left w:val="none" w:sz="0" w:space="0" w:color="auto"/>
        <w:bottom w:val="none" w:sz="0" w:space="0" w:color="auto"/>
        <w:right w:val="none" w:sz="0" w:space="0" w:color="auto"/>
      </w:divBdr>
      <w:divsChild>
        <w:div w:id="34914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1</Pages>
  <Words>83</Words>
  <Characters>475</Characters>
  <Application>Microsoft Office Outlook</Application>
  <DocSecurity>0</DocSecurity>
  <Lines>0</Lines>
  <Paragraphs>0</Paragraphs>
  <ScaleCrop>false</ScaleCrop>
  <Company>http://sdwm.org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葛永恒</dc:creator>
  <cp:keywords/>
  <dc:description/>
  <cp:lastModifiedBy>AutoBVT</cp:lastModifiedBy>
  <cp:revision>36</cp:revision>
  <dcterms:created xsi:type="dcterms:W3CDTF">2017-04-06T06:36:00Z</dcterms:created>
  <dcterms:modified xsi:type="dcterms:W3CDTF">2019-06-11T08:19:00Z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